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686C" w:rsidRPr="0084686C" w:rsidRDefault="0084686C" w:rsidP="0084686C">
      <w:pPr>
        <w:widowControl/>
        <w:shd w:val="clear" w:color="auto" w:fill="FFFFFF"/>
        <w:wordWrap w:val="0"/>
        <w:spacing w:before="100" w:beforeAutospacing="1" w:after="100" w:afterAutospacing="1"/>
        <w:jc w:val="center"/>
        <w:outlineLvl w:val="0"/>
        <w:rPr>
          <w:rFonts w:asciiTheme="minorEastAsia" w:hAnsiTheme="minorEastAsia" w:cs="宋体"/>
          <w:color w:val="333333"/>
          <w:kern w:val="36"/>
          <w:sz w:val="24"/>
          <w:szCs w:val="24"/>
        </w:rPr>
      </w:pPr>
      <w:r w:rsidRPr="0084686C">
        <w:rPr>
          <w:rFonts w:asciiTheme="minorEastAsia" w:hAnsiTheme="minorEastAsia" w:cs="宋体" w:hint="eastAsia"/>
          <w:color w:val="333333"/>
          <w:kern w:val="36"/>
          <w:sz w:val="24"/>
          <w:szCs w:val="24"/>
        </w:rPr>
        <w:t>食品中农药残留风险评估指南</w:t>
      </w:r>
      <w:proofErr w:type="gramStart"/>
      <w:r w:rsidRPr="0084686C">
        <w:rPr>
          <w:rFonts w:asciiTheme="minorEastAsia" w:hAnsiTheme="minorEastAsia" w:cs="宋体" w:hint="eastAsia"/>
          <w:color w:val="333333"/>
          <w:kern w:val="36"/>
          <w:sz w:val="24"/>
          <w:szCs w:val="24"/>
        </w:rPr>
        <w:t>》</w:t>
      </w:r>
      <w:proofErr w:type="gramEnd"/>
      <w:r w:rsidRPr="0084686C">
        <w:rPr>
          <w:rFonts w:asciiTheme="minorEastAsia" w:hAnsiTheme="minorEastAsia" w:cs="宋体" w:hint="eastAsia"/>
          <w:color w:val="333333"/>
          <w:kern w:val="36"/>
          <w:sz w:val="24"/>
          <w:szCs w:val="24"/>
        </w:rPr>
        <w:t>和《食品中农药最大残留限量制定指南》(中华人民共和国农业部公告第2308号)</w:t>
      </w:r>
    </w:p>
    <w:p w:rsidR="00767BE3" w:rsidRPr="0084686C" w:rsidRDefault="00767BE3">
      <w:pPr>
        <w:rPr>
          <w:rFonts w:asciiTheme="minorEastAsia" w:hAnsiTheme="minorEastAsia" w:hint="eastAsia"/>
          <w:sz w:val="24"/>
          <w:szCs w:val="24"/>
        </w:rPr>
      </w:pPr>
    </w:p>
    <w:p w:rsidR="0084686C" w:rsidRPr="0084686C" w:rsidRDefault="0084686C" w:rsidP="0084686C">
      <w:pPr>
        <w:rPr>
          <w:rFonts w:asciiTheme="minorEastAsia" w:hAnsiTheme="minorEastAsia" w:hint="eastAsia"/>
          <w:sz w:val="24"/>
          <w:szCs w:val="24"/>
        </w:rPr>
      </w:pPr>
      <w:r w:rsidRPr="0084686C">
        <w:rPr>
          <w:rFonts w:asciiTheme="minorEastAsia" w:hAnsiTheme="minorEastAsia" w:hint="eastAsia"/>
          <w:sz w:val="24"/>
          <w:szCs w:val="24"/>
        </w:rPr>
        <w:t>为规范食品中农药残留限量标准制定的程序和技术要求，确保农药残留标准制定的科学性，根据《中华人民共和国食品安全法》《中华人民共和国农产品质量安全法》和《农药管理条例》有关规定，我部制定了《食品中农药残留风险评估指南》和《食品中农药最大残留限量制定指南》，经第一届国家农药残留标准审评委员会第十二次会议审议通过，现予发布施行。</w:t>
      </w:r>
    </w:p>
    <w:p w:rsidR="0084686C" w:rsidRPr="0084686C" w:rsidRDefault="0084686C" w:rsidP="0084686C">
      <w:pPr>
        <w:rPr>
          <w:rFonts w:asciiTheme="minorEastAsia" w:hAnsiTheme="minorEastAsia"/>
          <w:sz w:val="24"/>
          <w:szCs w:val="24"/>
        </w:rPr>
      </w:pPr>
      <w:r w:rsidRPr="0084686C">
        <w:rPr>
          <w:rFonts w:asciiTheme="minorEastAsia" w:hAnsiTheme="minorEastAsia"/>
          <w:sz w:val="24"/>
          <w:szCs w:val="24"/>
        </w:rPr>
        <w:t xml:space="preserve"> </w:t>
      </w:r>
    </w:p>
    <w:p w:rsidR="0084686C" w:rsidRPr="0084686C" w:rsidRDefault="0084686C" w:rsidP="0084686C">
      <w:pPr>
        <w:rPr>
          <w:rFonts w:asciiTheme="minorEastAsia" w:hAnsiTheme="minorEastAsia" w:hint="eastAsia"/>
          <w:sz w:val="24"/>
          <w:szCs w:val="24"/>
        </w:rPr>
      </w:pPr>
      <w:r w:rsidRPr="0084686C">
        <w:rPr>
          <w:rFonts w:asciiTheme="minorEastAsia" w:hAnsiTheme="minorEastAsia" w:hint="eastAsia"/>
          <w:sz w:val="24"/>
          <w:szCs w:val="24"/>
        </w:rPr>
        <w:t xml:space="preserve">　　农业部</w:t>
      </w:r>
    </w:p>
    <w:p w:rsidR="0084686C" w:rsidRPr="0084686C" w:rsidRDefault="0084686C" w:rsidP="0084686C">
      <w:pPr>
        <w:rPr>
          <w:rFonts w:asciiTheme="minorEastAsia" w:hAnsiTheme="minorEastAsia"/>
          <w:sz w:val="24"/>
          <w:szCs w:val="24"/>
        </w:rPr>
      </w:pPr>
      <w:r w:rsidRPr="0084686C">
        <w:rPr>
          <w:rFonts w:asciiTheme="minorEastAsia" w:hAnsiTheme="minorEastAsia"/>
          <w:sz w:val="24"/>
          <w:szCs w:val="24"/>
        </w:rPr>
        <w:t xml:space="preserve"> </w:t>
      </w:r>
    </w:p>
    <w:p w:rsidR="0084686C" w:rsidRPr="0084686C" w:rsidRDefault="0084686C" w:rsidP="0084686C">
      <w:pPr>
        <w:rPr>
          <w:rFonts w:asciiTheme="minorEastAsia" w:hAnsiTheme="minorEastAsia" w:hint="eastAsia"/>
          <w:sz w:val="24"/>
          <w:szCs w:val="24"/>
        </w:rPr>
      </w:pPr>
      <w:r w:rsidRPr="0084686C">
        <w:rPr>
          <w:rFonts w:asciiTheme="minorEastAsia" w:hAnsiTheme="minorEastAsia" w:hint="eastAsia"/>
          <w:sz w:val="24"/>
          <w:szCs w:val="24"/>
        </w:rPr>
        <w:t xml:space="preserve">　　2015年10月8日</w:t>
      </w:r>
    </w:p>
    <w:p w:rsidR="0084686C" w:rsidRPr="0084686C" w:rsidRDefault="0084686C" w:rsidP="0084686C">
      <w:pPr>
        <w:rPr>
          <w:rFonts w:asciiTheme="minorEastAsia" w:hAnsiTheme="minorEastAsia"/>
          <w:sz w:val="24"/>
          <w:szCs w:val="24"/>
        </w:rPr>
      </w:pPr>
      <w:r w:rsidRPr="0084686C">
        <w:rPr>
          <w:rFonts w:asciiTheme="minorEastAsia" w:hAnsiTheme="minorEastAsia"/>
          <w:sz w:val="24"/>
          <w:szCs w:val="24"/>
        </w:rPr>
        <w:t xml:space="preserve"> </w:t>
      </w:r>
    </w:p>
    <w:p w:rsidR="0084686C" w:rsidRPr="0084686C" w:rsidRDefault="0084686C" w:rsidP="0084686C">
      <w:pPr>
        <w:rPr>
          <w:rFonts w:asciiTheme="minorEastAsia" w:hAnsiTheme="minorEastAsia" w:hint="eastAsia"/>
          <w:sz w:val="24"/>
          <w:szCs w:val="24"/>
        </w:rPr>
      </w:pPr>
      <w:r w:rsidRPr="0084686C">
        <w:rPr>
          <w:rFonts w:asciiTheme="minorEastAsia" w:hAnsiTheme="minorEastAsia" w:hint="eastAsia"/>
          <w:sz w:val="24"/>
          <w:szCs w:val="24"/>
        </w:rPr>
        <w:t xml:space="preserve">　　食品中农药残留风险评估指南</w:t>
      </w:r>
    </w:p>
    <w:p w:rsidR="0084686C" w:rsidRPr="0084686C" w:rsidRDefault="0084686C" w:rsidP="0084686C">
      <w:pPr>
        <w:rPr>
          <w:rFonts w:asciiTheme="minorEastAsia" w:hAnsiTheme="minorEastAsia"/>
          <w:sz w:val="24"/>
          <w:szCs w:val="24"/>
        </w:rPr>
      </w:pPr>
      <w:r w:rsidRPr="0084686C">
        <w:rPr>
          <w:rFonts w:asciiTheme="minorEastAsia" w:hAnsiTheme="minorEastAsia"/>
          <w:sz w:val="24"/>
          <w:szCs w:val="24"/>
        </w:rPr>
        <w:t xml:space="preserve"> </w:t>
      </w:r>
    </w:p>
    <w:p w:rsidR="00D56D76" w:rsidRDefault="0084686C" w:rsidP="00D56D76">
      <w:pPr>
        <w:ind w:firstLine="480"/>
        <w:rPr>
          <w:rFonts w:asciiTheme="minorEastAsia" w:hAnsiTheme="minorEastAsia" w:hint="eastAsia"/>
          <w:sz w:val="24"/>
          <w:szCs w:val="24"/>
        </w:rPr>
      </w:pPr>
      <w:r w:rsidRPr="0084686C">
        <w:rPr>
          <w:rFonts w:asciiTheme="minorEastAsia" w:hAnsiTheme="minorEastAsia" w:hint="eastAsia"/>
          <w:sz w:val="24"/>
          <w:szCs w:val="24"/>
        </w:rPr>
        <w:t>为确保农业生产安全、食品（包括食用农产品）质量安全，促进食品公平贸易，依据《中华人民共和国食品安全法》《中华人民共和国农产品质量安全法》《农药管理条例》《农药登记资料规定》，特制定本指南。</w:t>
      </w:r>
    </w:p>
    <w:p w:rsidR="0084686C" w:rsidRPr="0084686C" w:rsidRDefault="0084686C" w:rsidP="00D56D76">
      <w:pPr>
        <w:ind w:firstLine="480"/>
        <w:rPr>
          <w:rFonts w:asciiTheme="minorEastAsia" w:hAnsiTheme="minorEastAsia" w:hint="eastAsia"/>
          <w:sz w:val="24"/>
          <w:szCs w:val="24"/>
        </w:rPr>
      </w:pPr>
      <w:r w:rsidRPr="0084686C">
        <w:rPr>
          <w:rFonts w:asciiTheme="minorEastAsia" w:hAnsiTheme="minorEastAsia" w:hint="eastAsia"/>
          <w:sz w:val="24"/>
          <w:szCs w:val="24"/>
        </w:rPr>
        <w:t>食品（包括食用农产品）中农药残留风险评估是指通过分析农药毒理学和残留化学试验结果，根据消费者膳食结构，对因膳食摄入农药残留产生健康风险的可能性及程度进行科学评价。</w:t>
      </w:r>
    </w:p>
    <w:p w:rsidR="0084686C" w:rsidRPr="0084686C" w:rsidRDefault="0084686C" w:rsidP="0084686C">
      <w:pPr>
        <w:rPr>
          <w:rFonts w:asciiTheme="minorEastAsia" w:hAnsiTheme="minorEastAsia" w:hint="eastAsia"/>
          <w:sz w:val="24"/>
          <w:szCs w:val="24"/>
        </w:rPr>
      </w:pPr>
      <w:r w:rsidRPr="0084686C">
        <w:rPr>
          <w:rFonts w:asciiTheme="minorEastAsia" w:hAnsiTheme="minorEastAsia" w:hint="eastAsia"/>
          <w:sz w:val="24"/>
          <w:szCs w:val="24"/>
        </w:rPr>
        <w:t xml:space="preserve">　　本指南用于指导我国食品中农药残留风险评估。</w:t>
      </w:r>
    </w:p>
    <w:p w:rsidR="0084686C" w:rsidRPr="0084686C" w:rsidRDefault="0084686C" w:rsidP="0084686C">
      <w:pPr>
        <w:rPr>
          <w:rFonts w:asciiTheme="minorEastAsia" w:hAnsiTheme="minorEastAsia" w:hint="eastAsia"/>
          <w:sz w:val="24"/>
          <w:szCs w:val="24"/>
        </w:rPr>
      </w:pPr>
      <w:r w:rsidRPr="0084686C">
        <w:rPr>
          <w:rFonts w:asciiTheme="minorEastAsia" w:hAnsiTheme="minorEastAsia" w:hint="eastAsia"/>
          <w:sz w:val="24"/>
          <w:szCs w:val="24"/>
        </w:rPr>
        <w:t xml:space="preserve">　　一、毒理学评估</w:t>
      </w:r>
    </w:p>
    <w:p w:rsidR="0084686C" w:rsidRPr="0084686C" w:rsidRDefault="0084686C" w:rsidP="0084686C">
      <w:pPr>
        <w:rPr>
          <w:rFonts w:asciiTheme="minorEastAsia" w:hAnsiTheme="minorEastAsia" w:hint="eastAsia"/>
          <w:sz w:val="24"/>
          <w:szCs w:val="24"/>
        </w:rPr>
      </w:pPr>
      <w:r w:rsidRPr="0084686C">
        <w:rPr>
          <w:rFonts w:asciiTheme="minorEastAsia" w:hAnsiTheme="minorEastAsia" w:hint="eastAsia"/>
          <w:sz w:val="24"/>
          <w:szCs w:val="24"/>
        </w:rPr>
        <w:t xml:space="preserve">　　农药毒理学评估是对农药的危害进行识别，并对其危害特征进行描述。通过评价毒物代谢动力学试验和毒理学试验结果，推荐出每日允许摄入量（ADI）和/或急性参考剂量（</w:t>
      </w:r>
      <w:proofErr w:type="spellStart"/>
      <w:r w:rsidRPr="0084686C">
        <w:rPr>
          <w:rFonts w:asciiTheme="minorEastAsia" w:hAnsiTheme="minorEastAsia" w:hint="eastAsia"/>
          <w:sz w:val="24"/>
          <w:szCs w:val="24"/>
        </w:rPr>
        <w:t>ARfD</w:t>
      </w:r>
      <w:proofErr w:type="spellEnd"/>
      <w:r w:rsidRPr="0084686C">
        <w:rPr>
          <w:rFonts w:asciiTheme="minorEastAsia" w:hAnsiTheme="minorEastAsia" w:hint="eastAsia"/>
          <w:sz w:val="24"/>
          <w:szCs w:val="24"/>
        </w:rPr>
        <w:t>）。</w:t>
      </w:r>
    </w:p>
    <w:p w:rsidR="0084686C" w:rsidRPr="0084686C" w:rsidRDefault="0084686C" w:rsidP="0084686C">
      <w:pPr>
        <w:rPr>
          <w:rFonts w:asciiTheme="minorEastAsia" w:hAnsiTheme="minorEastAsia" w:hint="eastAsia"/>
          <w:sz w:val="24"/>
          <w:szCs w:val="24"/>
        </w:rPr>
      </w:pPr>
      <w:r w:rsidRPr="0084686C">
        <w:rPr>
          <w:rFonts w:asciiTheme="minorEastAsia" w:hAnsiTheme="minorEastAsia" w:hint="eastAsia"/>
          <w:sz w:val="24"/>
          <w:szCs w:val="24"/>
        </w:rPr>
        <w:t xml:space="preserve">　　（一）毒物代谢动力学评价</w:t>
      </w:r>
    </w:p>
    <w:p w:rsidR="0084686C" w:rsidRPr="0084686C" w:rsidRDefault="0084686C" w:rsidP="0084686C">
      <w:pPr>
        <w:rPr>
          <w:rFonts w:asciiTheme="minorEastAsia" w:hAnsiTheme="minorEastAsia" w:hint="eastAsia"/>
          <w:sz w:val="24"/>
          <w:szCs w:val="24"/>
        </w:rPr>
      </w:pPr>
      <w:r w:rsidRPr="0084686C">
        <w:rPr>
          <w:rFonts w:asciiTheme="minorEastAsia" w:hAnsiTheme="minorEastAsia" w:hint="eastAsia"/>
          <w:sz w:val="24"/>
          <w:szCs w:val="24"/>
        </w:rPr>
        <w:t xml:space="preserve">　　对农药在实验动物体内的吸收、分布、生物转化过程、排泄和蓄积等进行评价。</w:t>
      </w:r>
    </w:p>
    <w:p w:rsidR="0084686C" w:rsidRPr="0084686C" w:rsidRDefault="0084686C" w:rsidP="0084686C">
      <w:pPr>
        <w:rPr>
          <w:rFonts w:asciiTheme="minorEastAsia" w:hAnsiTheme="minorEastAsia" w:hint="eastAsia"/>
          <w:sz w:val="24"/>
          <w:szCs w:val="24"/>
        </w:rPr>
      </w:pPr>
      <w:r w:rsidRPr="0084686C">
        <w:rPr>
          <w:rFonts w:asciiTheme="minorEastAsia" w:hAnsiTheme="minorEastAsia" w:hint="eastAsia"/>
          <w:sz w:val="24"/>
          <w:szCs w:val="24"/>
        </w:rPr>
        <w:t xml:space="preserve">　　（二）毒理学评价</w:t>
      </w:r>
    </w:p>
    <w:p w:rsidR="0084686C" w:rsidRPr="0084686C" w:rsidRDefault="0084686C" w:rsidP="0084686C">
      <w:pPr>
        <w:rPr>
          <w:rFonts w:asciiTheme="minorEastAsia" w:hAnsiTheme="minorEastAsia" w:hint="eastAsia"/>
          <w:sz w:val="24"/>
          <w:szCs w:val="24"/>
        </w:rPr>
      </w:pPr>
      <w:r w:rsidRPr="0084686C">
        <w:rPr>
          <w:rFonts w:asciiTheme="minorEastAsia" w:hAnsiTheme="minorEastAsia" w:hint="eastAsia"/>
          <w:sz w:val="24"/>
          <w:szCs w:val="24"/>
        </w:rPr>
        <w:t xml:space="preserve">　　对农药及其有毒代谢产物的急性毒性、短期毒性、长期毒性、致癌性、致畸性、遗传毒性和生殖毒性等进行评价。</w:t>
      </w:r>
    </w:p>
    <w:p w:rsidR="0084686C" w:rsidRPr="0084686C" w:rsidRDefault="0084686C" w:rsidP="0084686C">
      <w:pPr>
        <w:rPr>
          <w:rFonts w:asciiTheme="minorEastAsia" w:hAnsiTheme="minorEastAsia" w:hint="eastAsia"/>
          <w:sz w:val="24"/>
          <w:szCs w:val="24"/>
        </w:rPr>
      </w:pPr>
      <w:r w:rsidRPr="0084686C">
        <w:rPr>
          <w:rFonts w:asciiTheme="minorEastAsia" w:hAnsiTheme="minorEastAsia" w:hint="eastAsia"/>
          <w:sz w:val="24"/>
          <w:szCs w:val="24"/>
        </w:rPr>
        <w:t xml:space="preserve">　　（三）推荐每日允许摄入量和急性参考剂量</w:t>
      </w:r>
    </w:p>
    <w:p w:rsidR="0084686C" w:rsidRPr="0084686C" w:rsidRDefault="0084686C" w:rsidP="0084686C">
      <w:pPr>
        <w:rPr>
          <w:rFonts w:asciiTheme="minorEastAsia" w:hAnsiTheme="minorEastAsia" w:hint="eastAsia"/>
          <w:sz w:val="24"/>
          <w:szCs w:val="24"/>
        </w:rPr>
      </w:pPr>
      <w:r w:rsidRPr="0084686C">
        <w:rPr>
          <w:rFonts w:asciiTheme="minorEastAsia" w:hAnsiTheme="minorEastAsia" w:hint="eastAsia"/>
          <w:sz w:val="24"/>
          <w:szCs w:val="24"/>
        </w:rPr>
        <w:t xml:space="preserve">　　根据毒物代谢动力学和毒理学评价结果，确定未观察到有害作用剂量水平（NOAEL），采用适当的不确定系数，制定每日允许摄入量（ADI）。对于有急性毒性作用的农药，制定急性参考剂量（</w:t>
      </w:r>
      <w:proofErr w:type="spellStart"/>
      <w:r w:rsidRPr="0084686C">
        <w:rPr>
          <w:rFonts w:asciiTheme="minorEastAsia" w:hAnsiTheme="minorEastAsia" w:hint="eastAsia"/>
          <w:sz w:val="24"/>
          <w:szCs w:val="24"/>
        </w:rPr>
        <w:t>ARfD</w:t>
      </w:r>
      <w:proofErr w:type="spellEnd"/>
      <w:r w:rsidRPr="0084686C">
        <w:rPr>
          <w:rFonts w:asciiTheme="minorEastAsia" w:hAnsiTheme="minorEastAsia" w:hint="eastAsia"/>
          <w:sz w:val="24"/>
          <w:szCs w:val="24"/>
        </w:rPr>
        <w:t>）（具体参考《农药每日允许摄入量制定指南》和《农药急性参考剂量制定指南》）。</w:t>
      </w:r>
    </w:p>
    <w:p w:rsidR="0084686C" w:rsidRPr="0084686C" w:rsidRDefault="0084686C" w:rsidP="0084686C">
      <w:pPr>
        <w:rPr>
          <w:rFonts w:asciiTheme="minorEastAsia" w:hAnsiTheme="minorEastAsia" w:hint="eastAsia"/>
          <w:sz w:val="24"/>
          <w:szCs w:val="24"/>
        </w:rPr>
      </w:pPr>
      <w:r w:rsidRPr="0084686C">
        <w:rPr>
          <w:rFonts w:asciiTheme="minorEastAsia" w:hAnsiTheme="minorEastAsia" w:hint="eastAsia"/>
          <w:sz w:val="24"/>
          <w:szCs w:val="24"/>
        </w:rPr>
        <w:t xml:space="preserve">　　二、残留化学评估</w:t>
      </w:r>
    </w:p>
    <w:p w:rsidR="0084686C" w:rsidRPr="0084686C" w:rsidRDefault="0084686C" w:rsidP="0084686C">
      <w:pPr>
        <w:rPr>
          <w:rFonts w:asciiTheme="minorEastAsia" w:hAnsiTheme="minorEastAsia" w:hint="eastAsia"/>
          <w:sz w:val="24"/>
          <w:szCs w:val="24"/>
        </w:rPr>
      </w:pPr>
      <w:r w:rsidRPr="0084686C">
        <w:rPr>
          <w:rFonts w:asciiTheme="minorEastAsia" w:hAnsiTheme="minorEastAsia" w:hint="eastAsia"/>
          <w:sz w:val="24"/>
          <w:szCs w:val="24"/>
        </w:rPr>
        <w:t xml:space="preserve">　　残留化学评估是对农药及其有毒代谢物在食品和环境中的残留行为的评价。通过评价动植物代谢试验、田间残留试验、饲喂试验、加工过程和环境行为试验等试验结果，推荐规范残留试验中值（STMR）和最高残留值（HR）。</w:t>
      </w:r>
    </w:p>
    <w:p w:rsidR="0084686C" w:rsidRPr="0084686C" w:rsidRDefault="0084686C" w:rsidP="0084686C">
      <w:pPr>
        <w:rPr>
          <w:rFonts w:asciiTheme="minorEastAsia" w:hAnsiTheme="minorEastAsia" w:hint="eastAsia"/>
          <w:sz w:val="24"/>
          <w:szCs w:val="24"/>
        </w:rPr>
      </w:pPr>
      <w:r w:rsidRPr="0084686C">
        <w:rPr>
          <w:rFonts w:asciiTheme="minorEastAsia" w:hAnsiTheme="minorEastAsia" w:hint="eastAsia"/>
          <w:sz w:val="24"/>
          <w:szCs w:val="24"/>
        </w:rPr>
        <w:t xml:space="preserve">　　（一）动植物代谢试验和残留物确定</w:t>
      </w:r>
    </w:p>
    <w:p w:rsidR="0084686C" w:rsidRPr="0084686C" w:rsidRDefault="0084686C" w:rsidP="0084686C">
      <w:pPr>
        <w:rPr>
          <w:rFonts w:asciiTheme="minorEastAsia" w:hAnsiTheme="minorEastAsia" w:hint="eastAsia"/>
          <w:sz w:val="24"/>
          <w:szCs w:val="24"/>
        </w:rPr>
      </w:pPr>
      <w:r w:rsidRPr="0084686C">
        <w:rPr>
          <w:rFonts w:asciiTheme="minorEastAsia" w:hAnsiTheme="minorEastAsia" w:hint="eastAsia"/>
          <w:sz w:val="24"/>
          <w:szCs w:val="24"/>
        </w:rPr>
        <w:t xml:space="preserve">　　参考毒理学评估结果，进行动植物代谢试验，对农药代谢规律、最终产物进</w:t>
      </w:r>
      <w:r w:rsidRPr="0084686C">
        <w:rPr>
          <w:rFonts w:asciiTheme="minorEastAsia" w:hAnsiTheme="minorEastAsia" w:hint="eastAsia"/>
          <w:sz w:val="24"/>
          <w:szCs w:val="24"/>
        </w:rPr>
        <w:lastRenderedPageBreak/>
        <w:t>行评价，确定残留物。</w:t>
      </w:r>
    </w:p>
    <w:p w:rsidR="0084686C" w:rsidRPr="0084686C" w:rsidRDefault="0084686C" w:rsidP="0084686C">
      <w:pPr>
        <w:rPr>
          <w:rFonts w:asciiTheme="minorEastAsia" w:hAnsiTheme="minorEastAsia" w:hint="eastAsia"/>
          <w:sz w:val="24"/>
          <w:szCs w:val="24"/>
        </w:rPr>
      </w:pPr>
      <w:r w:rsidRPr="0084686C">
        <w:rPr>
          <w:rFonts w:asciiTheme="minorEastAsia" w:hAnsiTheme="minorEastAsia" w:hint="eastAsia"/>
          <w:sz w:val="24"/>
          <w:szCs w:val="24"/>
        </w:rPr>
        <w:t xml:space="preserve">　　（二）残留行为评价</w:t>
      </w:r>
    </w:p>
    <w:p w:rsidR="0084686C" w:rsidRPr="0084686C" w:rsidRDefault="0084686C" w:rsidP="0084686C">
      <w:pPr>
        <w:rPr>
          <w:rFonts w:asciiTheme="minorEastAsia" w:hAnsiTheme="minorEastAsia" w:hint="eastAsia"/>
          <w:sz w:val="24"/>
          <w:szCs w:val="24"/>
        </w:rPr>
      </w:pPr>
      <w:r w:rsidRPr="0084686C">
        <w:rPr>
          <w:rFonts w:asciiTheme="minorEastAsia" w:hAnsiTheme="minorEastAsia" w:hint="eastAsia"/>
          <w:sz w:val="24"/>
          <w:szCs w:val="24"/>
        </w:rPr>
        <w:t xml:space="preserve">　　1.残留分析方法。对残留分析方法的有效性进行评价，主要包括正确度和精密度等。</w:t>
      </w:r>
    </w:p>
    <w:p w:rsidR="0084686C" w:rsidRPr="0084686C" w:rsidRDefault="0084686C" w:rsidP="0084686C">
      <w:pPr>
        <w:rPr>
          <w:rFonts w:asciiTheme="minorEastAsia" w:hAnsiTheme="minorEastAsia" w:hint="eastAsia"/>
          <w:sz w:val="24"/>
          <w:szCs w:val="24"/>
        </w:rPr>
      </w:pPr>
      <w:r w:rsidRPr="0084686C">
        <w:rPr>
          <w:rFonts w:asciiTheme="minorEastAsia" w:hAnsiTheme="minorEastAsia" w:hint="eastAsia"/>
          <w:sz w:val="24"/>
          <w:szCs w:val="24"/>
        </w:rPr>
        <w:t xml:space="preserve">　　2.样品贮藏稳定性。对试验样品贮藏稳定性进行评价；必要时，包括提取、净化后待测试样的贮藏稳定性。</w:t>
      </w:r>
    </w:p>
    <w:p w:rsidR="0084686C" w:rsidRPr="0084686C" w:rsidRDefault="0084686C" w:rsidP="0084686C">
      <w:pPr>
        <w:rPr>
          <w:rFonts w:asciiTheme="minorEastAsia" w:hAnsiTheme="minorEastAsia" w:hint="eastAsia"/>
          <w:sz w:val="24"/>
          <w:szCs w:val="24"/>
        </w:rPr>
      </w:pPr>
      <w:r w:rsidRPr="0084686C">
        <w:rPr>
          <w:rFonts w:asciiTheme="minorEastAsia" w:hAnsiTheme="minorEastAsia" w:hint="eastAsia"/>
          <w:sz w:val="24"/>
          <w:szCs w:val="24"/>
        </w:rPr>
        <w:t xml:space="preserve">　　3.规范残留试验。对试验设计中的农药使用范围、使用方法、施药剂量、使用次数和安全间隔期、样品采集、运输和预处理及试验结果等进行评价，提出规范残留试验中值（STMR）和最高残留值（HR）。必要时，包括对后茬作物农药残留评价。</w:t>
      </w:r>
    </w:p>
    <w:p w:rsidR="0084686C" w:rsidRPr="0084686C" w:rsidRDefault="0084686C" w:rsidP="0084686C">
      <w:pPr>
        <w:rPr>
          <w:rFonts w:asciiTheme="minorEastAsia" w:hAnsiTheme="minorEastAsia" w:hint="eastAsia"/>
          <w:sz w:val="24"/>
          <w:szCs w:val="24"/>
        </w:rPr>
      </w:pPr>
      <w:r w:rsidRPr="0084686C">
        <w:rPr>
          <w:rFonts w:asciiTheme="minorEastAsia" w:hAnsiTheme="minorEastAsia" w:hint="eastAsia"/>
          <w:sz w:val="24"/>
          <w:szCs w:val="24"/>
        </w:rPr>
        <w:t xml:space="preserve">　　（三）加工过程评价</w:t>
      </w:r>
    </w:p>
    <w:p w:rsidR="0084686C" w:rsidRPr="0084686C" w:rsidRDefault="0084686C" w:rsidP="0084686C">
      <w:pPr>
        <w:rPr>
          <w:rFonts w:asciiTheme="minorEastAsia" w:hAnsiTheme="minorEastAsia" w:hint="eastAsia"/>
          <w:sz w:val="24"/>
          <w:szCs w:val="24"/>
        </w:rPr>
      </w:pPr>
      <w:r w:rsidRPr="0084686C">
        <w:rPr>
          <w:rFonts w:asciiTheme="minorEastAsia" w:hAnsiTheme="minorEastAsia" w:hint="eastAsia"/>
          <w:sz w:val="24"/>
          <w:szCs w:val="24"/>
        </w:rPr>
        <w:t xml:space="preserve">　　对食品加工前后农药残留量变化进行评价，计算加工因子。必要时，包括对加工过程中农药性质变化的评价。</w:t>
      </w:r>
    </w:p>
    <w:p w:rsidR="0084686C" w:rsidRPr="0084686C" w:rsidRDefault="0084686C" w:rsidP="0084686C">
      <w:pPr>
        <w:rPr>
          <w:rFonts w:asciiTheme="minorEastAsia" w:hAnsiTheme="minorEastAsia" w:hint="eastAsia"/>
          <w:sz w:val="24"/>
          <w:szCs w:val="24"/>
        </w:rPr>
      </w:pPr>
      <w:r w:rsidRPr="0084686C">
        <w:rPr>
          <w:rFonts w:asciiTheme="minorEastAsia" w:hAnsiTheme="minorEastAsia" w:hint="eastAsia"/>
          <w:sz w:val="24"/>
          <w:szCs w:val="24"/>
        </w:rPr>
        <w:t xml:space="preserve">　　（四）动物饲喂试验评价</w:t>
      </w:r>
    </w:p>
    <w:p w:rsidR="0084686C" w:rsidRPr="0084686C" w:rsidRDefault="0084686C" w:rsidP="0084686C">
      <w:pPr>
        <w:rPr>
          <w:rFonts w:asciiTheme="minorEastAsia" w:hAnsiTheme="minorEastAsia" w:hint="eastAsia"/>
          <w:sz w:val="24"/>
          <w:szCs w:val="24"/>
        </w:rPr>
      </w:pPr>
      <w:r w:rsidRPr="0084686C">
        <w:rPr>
          <w:rFonts w:asciiTheme="minorEastAsia" w:hAnsiTheme="minorEastAsia" w:hint="eastAsia"/>
          <w:sz w:val="24"/>
          <w:szCs w:val="24"/>
        </w:rPr>
        <w:t xml:space="preserve">　　对动物饲喂造成动物产品中农药残留结果进行评价，主要处理方式包括饲料、直接给药和外用。</w:t>
      </w:r>
    </w:p>
    <w:p w:rsidR="0084686C" w:rsidRPr="0084686C" w:rsidRDefault="0084686C" w:rsidP="0084686C">
      <w:pPr>
        <w:rPr>
          <w:rFonts w:asciiTheme="minorEastAsia" w:hAnsiTheme="minorEastAsia" w:hint="eastAsia"/>
          <w:sz w:val="24"/>
          <w:szCs w:val="24"/>
        </w:rPr>
      </w:pPr>
      <w:r w:rsidRPr="0084686C">
        <w:rPr>
          <w:rFonts w:asciiTheme="minorEastAsia" w:hAnsiTheme="minorEastAsia" w:hint="eastAsia"/>
          <w:sz w:val="24"/>
          <w:szCs w:val="24"/>
        </w:rPr>
        <w:t xml:space="preserve">　　三、膳食摄入评估</w:t>
      </w:r>
    </w:p>
    <w:p w:rsidR="0084686C" w:rsidRPr="0084686C" w:rsidRDefault="0084686C" w:rsidP="0084686C">
      <w:pPr>
        <w:rPr>
          <w:rFonts w:asciiTheme="minorEastAsia" w:hAnsiTheme="minorEastAsia" w:hint="eastAsia"/>
          <w:sz w:val="24"/>
          <w:szCs w:val="24"/>
        </w:rPr>
      </w:pPr>
      <w:r w:rsidRPr="0084686C">
        <w:rPr>
          <w:rFonts w:asciiTheme="minorEastAsia" w:hAnsiTheme="minorEastAsia" w:hint="eastAsia"/>
          <w:sz w:val="24"/>
          <w:szCs w:val="24"/>
        </w:rPr>
        <w:t xml:space="preserve">　　膳食摄入评估是在毒理学和残留化学评估的基础上，根据我国居民膳食消费量，估算农药的膳食摄入量，包括长期和短期膳食摄入。</w:t>
      </w:r>
    </w:p>
    <w:p w:rsidR="0084686C" w:rsidRPr="0084686C" w:rsidRDefault="0084686C" w:rsidP="0084686C">
      <w:pPr>
        <w:rPr>
          <w:rFonts w:asciiTheme="minorEastAsia" w:hAnsiTheme="minorEastAsia" w:hint="eastAsia"/>
          <w:sz w:val="24"/>
          <w:szCs w:val="24"/>
        </w:rPr>
      </w:pPr>
      <w:r w:rsidRPr="0084686C">
        <w:rPr>
          <w:rFonts w:asciiTheme="minorEastAsia" w:hAnsiTheme="minorEastAsia" w:hint="eastAsia"/>
          <w:sz w:val="24"/>
          <w:szCs w:val="24"/>
        </w:rPr>
        <w:t xml:space="preserve">　　（一）长期膳食摄入评估</w:t>
      </w:r>
    </w:p>
    <w:p w:rsidR="0084686C" w:rsidRPr="0084686C" w:rsidRDefault="0084686C" w:rsidP="0084686C">
      <w:pPr>
        <w:rPr>
          <w:rFonts w:asciiTheme="minorEastAsia" w:hAnsiTheme="minorEastAsia" w:hint="eastAsia"/>
          <w:sz w:val="24"/>
          <w:szCs w:val="24"/>
        </w:rPr>
      </w:pPr>
      <w:r w:rsidRPr="0084686C">
        <w:rPr>
          <w:rFonts w:asciiTheme="minorEastAsia" w:hAnsiTheme="minorEastAsia" w:hint="eastAsia"/>
          <w:sz w:val="24"/>
          <w:szCs w:val="24"/>
        </w:rPr>
        <w:t xml:space="preserve">　　长期膳食摄入评估是依据国家卫生行政部门发布的中国居民营养与健康状况监测调查，或相关参考资料的数据，结合残留化学评估推荐的规范残留试验中值（STMR），计算国家估算每日摄入量（NEDI）。</w:t>
      </w:r>
    </w:p>
    <w:p w:rsidR="0084686C" w:rsidRPr="0084686C" w:rsidRDefault="0084686C" w:rsidP="0084686C">
      <w:pPr>
        <w:rPr>
          <w:rFonts w:asciiTheme="minorEastAsia" w:hAnsiTheme="minorEastAsia" w:hint="eastAsia"/>
          <w:sz w:val="24"/>
          <w:szCs w:val="24"/>
        </w:rPr>
      </w:pPr>
      <w:r w:rsidRPr="0084686C">
        <w:rPr>
          <w:rFonts w:asciiTheme="minorEastAsia" w:hAnsiTheme="minorEastAsia" w:hint="eastAsia"/>
          <w:sz w:val="24"/>
          <w:szCs w:val="24"/>
        </w:rPr>
        <w:t xml:space="preserve">　　根据规范残留试验中值（STMR/STMR-P）或最大残留限量（MRL）计算某种农药国家估算每日摄入量（NEDI），计算公式如下：</w:t>
      </w:r>
    </w:p>
    <w:p w:rsidR="0084686C" w:rsidRPr="0084686C" w:rsidRDefault="0084686C" w:rsidP="0084686C">
      <w:pPr>
        <w:rPr>
          <w:rFonts w:asciiTheme="minorEastAsia" w:hAnsiTheme="minorEastAsia" w:hint="eastAsia"/>
          <w:sz w:val="24"/>
          <w:szCs w:val="24"/>
        </w:rPr>
      </w:pPr>
      <w:r w:rsidRPr="0084686C">
        <w:rPr>
          <w:rFonts w:asciiTheme="minorEastAsia" w:hAnsiTheme="minorEastAsia" w:hint="eastAsia"/>
          <w:sz w:val="24"/>
          <w:szCs w:val="24"/>
        </w:rPr>
        <w:t xml:space="preserve">　　NEDI =∑［</w:t>
      </w:r>
      <w:proofErr w:type="spellStart"/>
      <w:r w:rsidRPr="0084686C">
        <w:rPr>
          <w:rFonts w:asciiTheme="minorEastAsia" w:hAnsiTheme="minorEastAsia" w:hint="eastAsia"/>
          <w:sz w:val="24"/>
          <w:szCs w:val="24"/>
        </w:rPr>
        <w:t>STMRi</w:t>
      </w:r>
      <w:proofErr w:type="spellEnd"/>
      <w:r w:rsidRPr="0084686C">
        <w:rPr>
          <w:rFonts w:asciiTheme="minorEastAsia" w:hAnsiTheme="minorEastAsia" w:hint="eastAsia"/>
          <w:sz w:val="24"/>
          <w:szCs w:val="24"/>
        </w:rPr>
        <w:t>（STMR-Pi）× Fi）］</w:t>
      </w:r>
    </w:p>
    <w:p w:rsidR="0084686C" w:rsidRPr="0084686C" w:rsidRDefault="0084686C" w:rsidP="0084686C">
      <w:pPr>
        <w:rPr>
          <w:rFonts w:asciiTheme="minorEastAsia" w:hAnsiTheme="minorEastAsia" w:hint="eastAsia"/>
          <w:sz w:val="24"/>
          <w:szCs w:val="24"/>
        </w:rPr>
      </w:pPr>
      <w:r w:rsidRPr="0084686C">
        <w:rPr>
          <w:rFonts w:asciiTheme="minorEastAsia" w:hAnsiTheme="minorEastAsia" w:hint="eastAsia"/>
          <w:sz w:val="24"/>
          <w:szCs w:val="24"/>
        </w:rPr>
        <w:t xml:space="preserve">　　式中：</w:t>
      </w:r>
    </w:p>
    <w:p w:rsidR="0084686C" w:rsidRPr="0084686C" w:rsidRDefault="0084686C" w:rsidP="0084686C">
      <w:pPr>
        <w:rPr>
          <w:rFonts w:asciiTheme="minorEastAsia" w:hAnsiTheme="minorEastAsia" w:hint="eastAsia"/>
          <w:sz w:val="24"/>
          <w:szCs w:val="24"/>
        </w:rPr>
      </w:pPr>
      <w:r w:rsidRPr="0084686C">
        <w:rPr>
          <w:rFonts w:asciiTheme="minorEastAsia" w:hAnsiTheme="minorEastAsia" w:hint="eastAsia"/>
          <w:sz w:val="24"/>
          <w:szCs w:val="24"/>
        </w:rPr>
        <w:t xml:space="preserve">　　</w:t>
      </w:r>
      <w:proofErr w:type="spellStart"/>
      <w:r w:rsidRPr="0084686C">
        <w:rPr>
          <w:rFonts w:asciiTheme="minorEastAsia" w:hAnsiTheme="minorEastAsia" w:hint="eastAsia"/>
          <w:sz w:val="24"/>
          <w:szCs w:val="24"/>
        </w:rPr>
        <w:t>STMRi</w:t>
      </w:r>
      <w:proofErr w:type="spellEnd"/>
      <w:r w:rsidRPr="0084686C">
        <w:rPr>
          <w:rFonts w:asciiTheme="minorEastAsia" w:hAnsiTheme="minorEastAsia" w:hint="eastAsia"/>
          <w:sz w:val="24"/>
          <w:szCs w:val="24"/>
        </w:rPr>
        <w:t>—农药在某一食品中的规范残留试验中值；</w:t>
      </w:r>
    </w:p>
    <w:p w:rsidR="0084686C" w:rsidRPr="0084686C" w:rsidRDefault="0084686C" w:rsidP="0084686C">
      <w:pPr>
        <w:rPr>
          <w:rFonts w:asciiTheme="minorEastAsia" w:hAnsiTheme="minorEastAsia"/>
          <w:sz w:val="24"/>
          <w:szCs w:val="24"/>
        </w:rPr>
      </w:pPr>
      <w:r w:rsidRPr="0084686C">
        <w:rPr>
          <w:rFonts w:asciiTheme="minorEastAsia" w:hAnsiTheme="minorEastAsia" w:hint="eastAsia"/>
          <w:sz w:val="24"/>
          <w:szCs w:val="24"/>
        </w:rPr>
        <w:t xml:space="preserve">　　STMR-Pi —用加工因子校正的规范残留试验中值；</w:t>
      </w:r>
    </w:p>
    <w:p w:rsidR="0084686C" w:rsidRPr="0084686C" w:rsidRDefault="0084686C" w:rsidP="0084686C">
      <w:pPr>
        <w:rPr>
          <w:rFonts w:asciiTheme="minorEastAsia" w:hAnsiTheme="minorEastAsia" w:hint="eastAsia"/>
          <w:sz w:val="24"/>
          <w:szCs w:val="24"/>
        </w:rPr>
      </w:pPr>
      <w:r w:rsidRPr="0084686C">
        <w:rPr>
          <w:rFonts w:asciiTheme="minorEastAsia" w:hAnsiTheme="minorEastAsia" w:hint="eastAsia"/>
          <w:sz w:val="24"/>
          <w:szCs w:val="24"/>
        </w:rPr>
        <w:t xml:space="preserve">　　Fi</w:t>
      </w:r>
      <w:proofErr w:type="gramStart"/>
      <w:r w:rsidRPr="0084686C">
        <w:rPr>
          <w:rFonts w:asciiTheme="minorEastAsia" w:hAnsiTheme="minorEastAsia" w:hint="eastAsia"/>
          <w:sz w:val="24"/>
          <w:szCs w:val="24"/>
        </w:rPr>
        <w:t>—一般</w:t>
      </w:r>
      <w:proofErr w:type="gramEnd"/>
      <w:r w:rsidRPr="0084686C">
        <w:rPr>
          <w:rFonts w:asciiTheme="minorEastAsia" w:hAnsiTheme="minorEastAsia" w:hint="eastAsia"/>
          <w:sz w:val="24"/>
          <w:szCs w:val="24"/>
        </w:rPr>
        <w:t>人群某一食品的消费量。</w:t>
      </w:r>
    </w:p>
    <w:p w:rsidR="0084686C" w:rsidRPr="0084686C" w:rsidRDefault="0084686C" w:rsidP="0084686C">
      <w:pPr>
        <w:rPr>
          <w:rFonts w:asciiTheme="minorEastAsia" w:hAnsiTheme="minorEastAsia" w:hint="eastAsia"/>
          <w:sz w:val="24"/>
          <w:szCs w:val="24"/>
        </w:rPr>
      </w:pPr>
      <w:r w:rsidRPr="0084686C">
        <w:rPr>
          <w:rFonts w:asciiTheme="minorEastAsia" w:hAnsiTheme="minorEastAsia" w:hint="eastAsia"/>
          <w:sz w:val="24"/>
          <w:szCs w:val="24"/>
        </w:rPr>
        <w:t xml:space="preserve">　　计算NEDI时，如果没有合适的STMR或STMR-P，可以使用相应的MRL。</w:t>
      </w:r>
    </w:p>
    <w:p w:rsidR="0084686C" w:rsidRPr="0084686C" w:rsidRDefault="0084686C" w:rsidP="0084686C">
      <w:pPr>
        <w:rPr>
          <w:rFonts w:asciiTheme="minorEastAsia" w:hAnsiTheme="minorEastAsia" w:hint="eastAsia"/>
          <w:sz w:val="24"/>
          <w:szCs w:val="24"/>
        </w:rPr>
      </w:pPr>
      <w:r w:rsidRPr="0084686C">
        <w:rPr>
          <w:rFonts w:asciiTheme="minorEastAsia" w:hAnsiTheme="minorEastAsia" w:hint="eastAsia"/>
          <w:sz w:val="24"/>
          <w:szCs w:val="24"/>
        </w:rPr>
        <w:t xml:space="preserve">　　（二）短期膳食摄入评估</w:t>
      </w:r>
    </w:p>
    <w:p w:rsidR="0084686C" w:rsidRPr="0084686C" w:rsidRDefault="0084686C" w:rsidP="0084686C">
      <w:pPr>
        <w:rPr>
          <w:rFonts w:asciiTheme="minorEastAsia" w:hAnsiTheme="minorEastAsia" w:hint="eastAsia"/>
          <w:sz w:val="24"/>
          <w:szCs w:val="24"/>
        </w:rPr>
      </w:pPr>
      <w:r w:rsidRPr="0084686C">
        <w:rPr>
          <w:rFonts w:asciiTheme="minorEastAsia" w:hAnsiTheme="minorEastAsia" w:hint="eastAsia"/>
          <w:sz w:val="24"/>
          <w:szCs w:val="24"/>
        </w:rPr>
        <w:t xml:space="preserve">　　短期膳食摄入评估是依据国家卫生行政部门发布的中国居民营养与健康状况监测调查，或相关参考资料的数据，基于每餐或</w:t>
      </w:r>
      <w:proofErr w:type="gramStart"/>
      <w:r w:rsidRPr="0084686C">
        <w:rPr>
          <w:rFonts w:asciiTheme="minorEastAsia" w:hAnsiTheme="minorEastAsia" w:hint="eastAsia"/>
          <w:sz w:val="24"/>
          <w:szCs w:val="24"/>
        </w:rPr>
        <w:t>一</w:t>
      </w:r>
      <w:proofErr w:type="gramEnd"/>
      <w:r w:rsidRPr="0084686C">
        <w:rPr>
          <w:rFonts w:asciiTheme="minorEastAsia" w:hAnsiTheme="minorEastAsia" w:hint="eastAsia"/>
          <w:sz w:val="24"/>
          <w:szCs w:val="24"/>
        </w:rPr>
        <w:t>日内膳食结构和具体食品特征，结合残留化学评估推荐的规范残留试验中值（STMR）或最高残留值（HR），计算国家估算短期摄入量（NESTI）。</w:t>
      </w:r>
    </w:p>
    <w:p w:rsidR="0084686C" w:rsidRPr="0084686C" w:rsidRDefault="0084686C" w:rsidP="0084686C">
      <w:pPr>
        <w:rPr>
          <w:rFonts w:asciiTheme="minorEastAsia" w:hAnsiTheme="minorEastAsia" w:hint="eastAsia"/>
          <w:sz w:val="24"/>
          <w:szCs w:val="24"/>
        </w:rPr>
      </w:pPr>
      <w:r w:rsidRPr="0084686C">
        <w:rPr>
          <w:rFonts w:asciiTheme="minorEastAsia" w:hAnsiTheme="minorEastAsia" w:hint="eastAsia"/>
          <w:sz w:val="24"/>
          <w:szCs w:val="24"/>
        </w:rPr>
        <w:t xml:space="preserve">　　四、评估结论</w:t>
      </w:r>
    </w:p>
    <w:p w:rsidR="0084686C" w:rsidRPr="0084686C" w:rsidRDefault="0084686C" w:rsidP="0084686C">
      <w:pPr>
        <w:rPr>
          <w:rFonts w:asciiTheme="minorEastAsia" w:hAnsiTheme="minorEastAsia" w:hint="eastAsia"/>
          <w:sz w:val="24"/>
          <w:szCs w:val="24"/>
        </w:rPr>
      </w:pPr>
      <w:r w:rsidRPr="0084686C">
        <w:rPr>
          <w:rFonts w:asciiTheme="minorEastAsia" w:hAnsiTheme="minorEastAsia" w:hint="eastAsia"/>
          <w:sz w:val="24"/>
          <w:szCs w:val="24"/>
        </w:rPr>
        <w:t xml:space="preserve">　　根据毒理学、残留化学和膳食摄入评估结果（每日允许摄入量、急性参考剂量、国家估算每日摄入量或国家估算短期摄入量），进行分析评价。一般情况下，当国家估算每日摄入量低于每日允许摄入量，国家估算短期摄入量低于急性参考剂量，则认为基于推荐的最大残留限量值的农药残留不会产生不可接受的健康风险。可向风险管理机构推荐最大残留限量值或风险管理建议。</w:t>
      </w:r>
    </w:p>
    <w:p w:rsidR="0084686C" w:rsidRPr="0084686C" w:rsidRDefault="0084686C" w:rsidP="0084686C">
      <w:pPr>
        <w:rPr>
          <w:rFonts w:asciiTheme="minorEastAsia" w:hAnsiTheme="minorEastAsia" w:hint="eastAsia"/>
          <w:sz w:val="24"/>
          <w:szCs w:val="24"/>
        </w:rPr>
      </w:pPr>
      <w:r w:rsidRPr="0084686C">
        <w:rPr>
          <w:rFonts w:asciiTheme="minorEastAsia" w:hAnsiTheme="minorEastAsia" w:hint="eastAsia"/>
          <w:sz w:val="24"/>
          <w:szCs w:val="24"/>
        </w:rPr>
        <w:t xml:space="preserve">　　五、术语</w:t>
      </w:r>
    </w:p>
    <w:p w:rsidR="0084686C" w:rsidRPr="0084686C" w:rsidRDefault="0084686C" w:rsidP="0084686C">
      <w:pPr>
        <w:rPr>
          <w:rFonts w:asciiTheme="minorEastAsia" w:hAnsiTheme="minorEastAsia" w:hint="eastAsia"/>
          <w:sz w:val="24"/>
          <w:szCs w:val="24"/>
        </w:rPr>
      </w:pPr>
      <w:r w:rsidRPr="0084686C">
        <w:rPr>
          <w:rFonts w:asciiTheme="minorEastAsia" w:hAnsiTheme="minorEastAsia" w:hint="eastAsia"/>
          <w:sz w:val="24"/>
          <w:szCs w:val="24"/>
        </w:rPr>
        <w:t xml:space="preserve">　　（一）风险评估 Risk Assessment：是指对人类由于接触危险物质而对健康</w:t>
      </w:r>
      <w:r w:rsidRPr="0084686C">
        <w:rPr>
          <w:rFonts w:asciiTheme="minorEastAsia" w:hAnsiTheme="minorEastAsia" w:hint="eastAsia"/>
          <w:sz w:val="24"/>
          <w:szCs w:val="24"/>
        </w:rPr>
        <w:lastRenderedPageBreak/>
        <w:t>具有已知或可能的严重不良作用的科学评估。包括危害识别，危害特征描述，暴露评估和风险特征描述。</w:t>
      </w:r>
    </w:p>
    <w:p w:rsidR="0084686C" w:rsidRPr="0084686C" w:rsidRDefault="0084686C" w:rsidP="0084686C">
      <w:pPr>
        <w:rPr>
          <w:rFonts w:asciiTheme="minorEastAsia" w:hAnsiTheme="minorEastAsia" w:hint="eastAsia"/>
          <w:sz w:val="24"/>
          <w:szCs w:val="24"/>
        </w:rPr>
      </w:pPr>
      <w:r w:rsidRPr="0084686C">
        <w:rPr>
          <w:rFonts w:asciiTheme="minorEastAsia" w:hAnsiTheme="minorEastAsia" w:hint="eastAsia"/>
          <w:sz w:val="24"/>
          <w:szCs w:val="24"/>
        </w:rPr>
        <w:t xml:space="preserve">　　（二）危害 Hazard：食品中潜在的会对人类健康产生不良作用的生物、化学或物理性因素或条件。</w:t>
      </w:r>
    </w:p>
    <w:p w:rsidR="0084686C" w:rsidRPr="0084686C" w:rsidRDefault="0084686C" w:rsidP="0084686C">
      <w:pPr>
        <w:rPr>
          <w:rFonts w:asciiTheme="minorEastAsia" w:hAnsiTheme="minorEastAsia" w:hint="eastAsia"/>
          <w:sz w:val="24"/>
          <w:szCs w:val="24"/>
        </w:rPr>
      </w:pPr>
      <w:r w:rsidRPr="0084686C">
        <w:rPr>
          <w:rFonts w:asciiTheme="minorEastAsia" w:hAnsiTheme="minorEastAsia" w:hint="eastAsia"/>
          <w:sz w:val="24"/>
          <w:szCs w:val="24"/>
        </w:rPr>
        <w:t xml:space="preserve">　　（三）风险 Risk：是指食品中因存在某种危害而对人类健康或环境产生不良作用的可能性和严重性。</w:t>
      </w:r>
    </w:p>
    <w:p w:rsidR="0084686C" w:rsidRPr="0084686C" w:rsidRDefault="0084686C" w:rsidP="0084686C">
      <w:pPr>
        <w:rPr>
          <w:rFonts w:asciiTheme="minorEastAsia" w:hAnsiTheme="minorEastAsia" w:hint="eastAsia"/>
          <w:sz w:val="24"/>
          <w:szCs w:val="24"/>
        </w:rPr>
      </w:pPr>
      <w:r w:rsidRPr="0084686C">
        <w:rPr>
          <w:rFonts w:asciiTheme="minorEastAsia" w:hAnsiTheme="minorEastAsia" w:hint="eastAsia"/>
          <w:sz w:val="24"/>
          <w:szCs w:val="24"/>
        </w:rPr>
        <w:t xml:space="preserve">　　（四）残留物 Residue Definition：由于使用农药而在食品、农产品和动物饲料中出现的任何特定物质，包括被认为具有毒理学意义的农药衍生物，如农药转化物，代谢物、反应产物及杂质等。</w:t>
      </w:r>
    </w:p>
    <w:p w:rsidR="0084686C" w:rsidRPr="0084686C" w:rsidRDefault="0084686C" w:rsidP="0084686C">
      <w:pPr>
        <w:rPr>
          <w:rFonts w:asciiTheme="minorEastAsia" w:hAnsiTheme="minorEastAsia" w:hint="eastAsia"/>
          <w:sz w:val="24"/>
          <w:szCs w:val="24"/>
        </w:rPr>
      </w:pPr>
      <w:r w:rsidRPr="0084686C">
        <w:rPr>
          <w:rFonts w:asciiTheme="minorEastAsia" w:hAnsiTheme="minorEastAsia" w:hint="eastAsia"/>
          <w:sz w:val="24"/>
          <w:szCs w:val="24"/>
        </w:rPr>
        <w:t xml:space="preserve">　　（五）最大残留限量 Maximum Residue Limit（MRL）：是在食品或农产品内部或表面法定允许的农药最大浓度，以每千克食品或农产品中农药残留的毫克数表示（mg/kg）。</w:t>
      </w:r>
    </w:p>
    <w:p w:rsidR="0084686C" w:rsidRPr="0084686C" w:rsidRDefault="0084686C" w:rsidP="0084686C">
      <w:pPr>
        <w:rPr>
          <w:rFonts w:asciiTheme="minorEastAsia" w:hAnsiTheme="minorEastAsia" w:hint="eastAsia"/>
          <w:sz w:val="24"/>
          <w:szCs w:val="24"/>
        </w:rPr>
      </w:pPr>
      <w:r w:rsidRPr="0084686C">
        <w:rPr>
          <w:rFonts w:asciiTheme="minorEastAsia" w:hAnsiTheme="minorEastAsia" w:hint="eastAsia"/>
          <w:sz w:val="24"/>
          <w:szCs w:val="24"/>
        </w:rPr>
        <w:t xml:space="preserve">　　（六）每日允许摄入量 Acceptable Daily Intake （ADI）：人类终生每日</w:t>
      </w:r>
      <w:proofErr w:type="gramStart"/>
      <w:r w:rsidRPr="0084686C">
        <w:rPr>
          <w:rFonts w:asciiTheme="minorEastAsia" w:hAnsiTheme="minorEastAsia" w:hint="eastAsia"/>
          <w:sz w:val="24"/>
          <w:szCs w:val="24"/>
        </w:rPr>
        <w:t>摄入某</w:t>
      </w:r>
      <w:proofErr w:type="gramEnd"/>
      <w:r w:rsidRPr="0084686C">
        <w:rPr>
          <w:rFonts w:asciiTheme="minorEastAsia" w:hAnsiTheme="minorEastAsia" w:hint="eastAsia"/>
          <w:sz w:val="24"/>
          <w:szCs w:val="24"/>
        </w:rPr>
        <w:t xml:space="preserve">物质，而不产生可检测到的危害健康的估计量，以每千克体重可摄入的量表示（mg/kg </w:t>
      </w:r>
      <w:proofErr w:type="spellStart"/>
      <w:r w:rsidRPr="0084686C">
        <w:rPr>
          <w:rFonts w:asciiTheme="minorEastAsia" w:hAnsiTheme="minorEastAsia" w:hint="eastAsia"/>
          <w:sz w:val="24"/>
          <w:szCs w:val="24"/>
        </w:rPr>
        <w:t>bw</w:t>
      </w:r>
      <w:proofErr w:type="spellEnd"/>
      <w:r w:rsidRPr="0084686C">
        <w:rPr>
          <w:rFonts w:asciiTheme="minorEastAsia" w:hAnsiTheme="minorEastAsia" w:hint="eastAsia"/>
          <w:sz w:val="24"/>
          <w:szCs w:val="24"/>
        </w:rPr>
        <w:t>）。</w:t>
      </w:r>
    </w:p>
    <w:p w:rsidR="0084686C" w:rsidRPr="0084686C" w:rsidRDefault="0084686C" w:rsidP="0084686C">
      <w:pPr>
        <w:rPr>
          <w:rFonts w:asciiTheme="minorEastAsia" w:hAnsiTheme="minorEastAsia" w:hint="eastAsia"/>
          <w:sz w:val="24"/>
          <w:szCs w:val="24"/>
        </w:rPr>
      </w:pPr>
      <w:r w:rsidRPr="0084686C">
        <w:rPr>
          <w:rFonts w:asciiTheme="minorEastAsia" w:hAnsiTheme="minorEastAsia" w:hint="eastAsia"/>
          <w:sz w:val="24"/>
          <w:szCs w:val="24"/>
        </w:rPr>
        <w:t xml:space="preserve">　　（七）急性参考剂量 Acute Reference Dose（</w:t>
      </w:r>
      <w:proofErr w:type="spellStart"/>
      <w:r w:rsidRPr="0084686C">
        <w:rPr>
          <w:rFonts w:asciiTheme="minorEastAsia" w:hAnsiTheme="minorEastAsia" w:hint="eastAsia"/>
          <w:sz w:val="24"/>
          <w:szCs w:val="24"/>
        </w:rPr>
        <w:t>ARfD</w:t>
      </w:r>
      <w:proofErr w:type="spellEnd"/>
      <w:r w:rsidRPr="0084686C">
        <w:rPr>
          <w:rFonts w:asciiTheme="minorEastAsia" w:hAnsiTheme="minorEastAsia" w:hint="eastAsia"/>
          <w:sz w:val="24"/>
          <w:szCs w:val="24"/>
        </w:rPr>
        <w:t>）：人类在24小时或更短时间内，通过膳食或饮水</w:t>
      </w:r>
      <w:proofErr w:type="gramStart"/>
      <w:r w:rsidRPr="0084686C">
        <w:rPr>
          <w:rFonts w:asciiTheme="minorEastAsia" w:hAnsiTheme="minorEastAsia" w:hint="eastAsia"/>
          <w:sz w:val="24"/>
          <w:szCs w:val="24"/>
        </w:rPr>
        <w:t>摄入某</w:t>
      </w:r>
      <w:proofErr w:type="gramEnd"/>
      <w:r w:rsidRPr="0084686C">
        <w:rPr>
          <w:rFonts w:asciiTheme="minorEastAsia" w:hAnsiTheme="minorEastAsia" w:hint="eastAsia"/>
          <w:sz w:val="24"/>
          <w:szCs w:val="24"/>
        </w:rPr>
        <w:t xml:space="preserve">物质，而不产生可检测到的危害健康的估计量，以每千克体重可摄入的量表示（mg/kg </w:t>
      </w:r>
      <w:proofErr w:type="spellStart"/>
      <w:r w:rsidRPr="0084686C">
        <w:rPr>
          <w:rFonts w:asciiTheme="minorEastAsia" w:hAnsiTheme="minorEastAsia" w:hint="eastAsia"/>
          <w:sz w:val="24"/>
          <w:szCs w:val="24"/>
        </w:rPr>
        <w:t>bw</w:t>
      </w:r>
      <w:proofErr w:type="spellEnd"/>
      <w:r w:rsidRPr="0084686C">
        <w:rPr>
          <w:rFonts w:asciiTheme="minorEastAsia" w:hAnsiTheme="minorEastAsia" w:hint="eastAsia"/>
          <w:sz w:val="24"/>
          <w:szCs w:val="24"/>
        </w:rPr>
        <w:t>）。</w:t>
      </w:r>
    </w:p>
    <w:p w:rsidR="0084686C" w:rsidRPr="0084686C" w:rsidRDefault="0084686C" w:rsidP="0084686C">
      <w:pPr>
        <w:rPr>
          <w:rFonts w:asciiTheme="minorEastAsia" w:hAnsiTheme="minorEastAsia" w:hint="eastAsia"/>
          <w:sz w:val="24"/>
          <w:szCs w:val="24"/>
        </w:rPr>
      </w:pPr>
      <w:r w:rsidRPr="0084686C">
        <w:rPr>
          <w:rFonts w:asciiTheme="minorEastAsia" w:hAnsiTheme="minorEastAsia" w:hint="eastAsia"/>
          <w:sz w:val="24"/>
          <w:szCs w:val="24"/>
        </w:rPr>
        <w:t xml:space="preserve">　　（八）未观察到有害作用剂量水平 No-Observed- Adverse- Effect Level（NOAEL）：在规定的试验条件下，用现有技术手段或检测指标，未能观察到与染毒有关的有害效应的受试</w:t>
      </w:r>
      <w:proofErr w:type="gramStart"/>
      <w:r w:rsidRPr="0084686C">
        <w:rPr>
          <w:rFonts w:asciiTheme="minorEastAsia" w:hAnsiTheme="minorEastAsia" w:hint="eastAsia"/>
          <w:sz w:val="24"/>
          <w:szCs w:val="24"/>
        </w:rPr>
        <w:t>物最高</w:t>
      </w:r>
      <w:proofErr w:type="gramEnd"/>
      <w:r w:rsidRPr="0084686C">
        <w:rPr>
          <w:rFonts w:asciiTheme="minorEastAsia" w:hAnsiTheme="minorEastAsia" w:hint="eastAsia"/>
          <w:sz w:val="24"/>
          <w:szCs w:val="24"/>
        </w:rPr>
        <w:t>剂量或浓度。</w:t>
      </w:r>
    </w:p>
    <w:p w:rsidR="0084686C" w:rsidRPr="0084686C" w:rsidRDefault="0084686C" w:rsidP="0084686C">
      <w:pPr>
        <w:rPr>
          <w:rFonts w:asciiTheme="minorEastAsia" w:hAnsiTheme="minorEastAsia" w:hint="eastAsia"/>
          <w:sz w:val="24"/>
          <w:szCs w:val="24"/>
        </w:rPr>
      </w:pPr>
      <w:r w:rsidRPr="0084686C">
        <w:rPr>
          <w:rFonts w:asciiTheme="minorEastAsia" w:hAnsiTheme="minorEastAsia" w:hint="eastAsia"/>
          <w:sz w:val="24"/>
          <w:szCs w:val="24"/>
        </w:rPr>
        <w:t xml:space="preserve">　　（九）不确定系数 Uncertainty Factor （UF）：在制定农药每日允许摄入量或急性参考剂量时，存在实验动物数据外推和数据质量等因素引起的不确定性，为了减少上述不确定性，一般将从实验动物毒性试验中得到的数据缩小一定的倍数得出每日允许摄入量或急性参考剂量，这种缩小的倍数即为不确定系数。</w:t>
      </w:r>
    </w:p>
    <w:p w:rsidR="0084686C" w:rsidRPr="0084686C" w:rsidRDefault="0084686C" w:rsidP="0084686C">
      <w:pPr>
        <w:rPr>
          <w:rFonts w:asciiTheme="minorEastAsia" w:hAnsiTheme="minorEastAsia" w:hint="eastAsia"/>
          <w:sz w:val="24"/>
          <w:szCs w:val="24"/>
        </w:rPr>
      </w:pPr>
      <w:r w:rsidRPr="0084686C">
        <w:rPr>
          <w:rFonts w:asciiTheme="minorEastAsia" w:hAnsiTheme="minorEastAsia" w:hint="eastAsia"/>
          <w:sz w:val="24"/>
          <w:szCs w:val="24"/>
        </w:rPr>
        <w:t xml:space="preserve">　　（十）规范残留试验 Supervised Field Trials：是指在良好农业规范（GAP）和良好实验室规范（GLP）或相似条件下，为获取推荐使用的农药在可食用（或饲用）初级农产品和土壤中可能的最高残留值，以及这些农药在农产品、土壤（或水）中的消解动态而进行的试验。</w:t>
      </w:r>
    </w:p>
    <w:p w:rsidR="0084686C" w:rsidRPr="0084686C" w:rsidRDefault="0084686C" w:rsidP="0084686C">
      <w:pPr>
        <w:rPr>
          <w:rFonts w:asciiTheme="minorEastAsia" w:hAnsiTheme="minorEastAsia" w:hint="eastAsia"/>
          <w:sz w:val="24"/>
          <w:szCs w:val="24"/>
        </w:rPr>
      </w:pPr>
      <w:r w:rsidRPr="0084686C">
        <w:rPr>
          <w:rFonts w:asciiTheme="minorEastAsia" w:hAnsiTheme="minorEastAsia" w:hint="eastAsia"/>
          <w:sz w:val="24"/>
          <w:szCs w:val="24"/>
        </w:rPr>
        <w:t xml:space="preserve">　　（十一）规范残留试验中值Supervised Trials Median Residue（STMR）：多个登记残留试验组成的数据集的中位数。</w:t>
      </w:r>
    </w:p>
    <w:p w:rsidR="0084686C" w:rsidRPr="0084686C" w:rsidRDefault="0084686C" w:rsidP="0084686C">
      <w:pPr>
        <w:rPr>
          <w:rFonts w:asciiTheme="minorEastAsia" w:hAnsiTheme="minorEastAsia" w:hint="eastAsia"/>
          <w:sz w:val="24"/>
          <w:szCs w:val="24"/>
        </w:rPr>
      </w:pPr>
      <w:r w:rsidRPr="0084686C">
        <w:rPr>
          <w:rFonts w:asciiTheme="minorEastAsia" w:hAnsiTheme="minorEastAsia" w:hint="eastAsia"/>
          <w:sz w:val="24"/>
          <w:szCs w:val="24"/>
        </w:rPr>
        <w:t xml:space="preserve">　　（十二）最高</w:t>
      </w:r>
      <w:proofErr w:type="gramStart"/>
      <w:r w:rsidRPr="0084686C">
        <w:rPr>
          <w:rFonts w:asciiTheme="minorEastAsia" w:hAnsiTheme="minorEastAsia" w:hint="eastAsia"/>
          <w:sz w:val="24"/>
          <w:szCs w:val="24"/>
        </w:rPr>
        <w:t>残留值</w:t>
      </w:r>
      <w:proofErr w:type="gramEnd"/>
      <w:r w:rsidRPr="0084686C">
        <w:rPr>
          <w:rFonts w:asciiTheme="minorEastAsia" w:hAnsiTheme="minorEastAsia" w:hint="eastAsia"/>
          <w:sz w:val="24"/>
          <w:szCs w:val="24"/>
        </w:rPr>
        <w:t xml:space="preserve"> Highest Residue（HR）：多个登记残留试验组成的数据集的最大值。</w:t>
      </w:r>
    </w:p>
    <w:p w:rsidR="0084686C" w:rsidRPr="0084686C" w:rsidRDefault="0084686C" w:rsidP="0084686C">
      <w:pPr>
        <w:rPr>
          <w:rFonts w:asciiTheme="minorEastAsia" w:hAnsiTheme="minorEastAsia" w:hint="eastAsia"/>
          <w:sz w:val="24"/>
          <w:szCs w:val="24"/>
        </w:rPr>
      </w:pPr>
      <w:r w:rsidRPr="0084686C">
        <w:rPr>
          <w:rFonts w:asciiTheme="minorEastAsia" w:hAnsiTheme="minorEastAsia" w:hint="eastAsia"/>
          <w:sz w:val="24"/>
          <w:szCs w:val="24"/>
        </w:rPr>
        <w:t xml:space="preserve">　　（十三）国家估算每日摄入量 National Estimated Daily Intake（NEDI）：是对长期农药残留摄入的估计。它是基于每人每日平均食物消费量和规范残留试验中值计算的，包括食品加工过程中残留变化、其它来源的膳食摄入和有毒理学意义的转化产物。以mg/kg </w:t>
      </w:r>
      <w:proofErr w:type="spellStart"/>
      <w:r w:rsidRPr="0084686C">
        <w:rPr>
          <w:rFonts w:asciiTheme="minorEastAsia" w:hAnsiTheme="minorEastAsia" w:hint="eastAsia"/>
          <w:sz w:val="24"/>
          <w:szCs w:val="24"/>
        </w:rPr>
        <w:t>bw</w:t>
      </w:r>
      <w:proofErr w:type="spellEnd"/>
      <w:r w:rsidRPr="0084686C">
        <w:rPr>
          <w:rFonts w:asciiTheme="minorEastAsia" w:hAnsiTheme="minorEastAsia" w:hint="eastAsia"/>
          <w:sz w:val="24"/>
          <w:szCs w:val="24"/>
        </w:rPr>
        <w:t>为单位。。</w:t>
      </w:r>
    </w:p>
    <w:p w:rsidR="0084686C" w:rsidRPr="0084686C" w:rsidRDefault="0084686C" w:rsidP="0084686C">
      <w:pPr>
        <w:rPr>
          <w:rFonts w:asciiTheme="minorEastAsia" w:hAnsiTheme="minorEastAsia" w:hint="eastAsia"/>
          <w:sz w:val="24"/>
          <w:szCs w:val="24"/>
        </w:rPr>
      </w:pPr>
      <w:r w:rsidRPr="0084686C">
        <w:rPr>
          <w:rFonts w:asciiTheme="minorEastAsia" w:hAnsiTheme="minorEastAsia" w:hint="eastAsia"/>
          <w:sz w:val="24"/>
          <w:szCs w:val="24"/>
        </w:rPr>
        <w:t xml:space="preserve">　　（十四）国家估算短期摄入量 National Estimated Short Term Intake（NESTI）：是对短期农药残留摄入的估计。它是基于每人每日（餐）某种食物摄入量和规范残留试验数据计算的，主要考虑食品可食部分的残留，包括有毒理学意义的转化产物。以mg/kg </w:t>
      </w:r>
      <w:proofErr w:type="spellStart"/>
      <w:r w:rsidRPr="0084686C">
        <w:rPr>
          <w:rFonts w:asciiTheme="minorEastAsia" w:hAnsiTheme="minorEastAsia" w:hint="eastAsia"/>
          <w:sz w:val="24"/>
          <w:szCs w:val="24"/>
        </w:rPr>
        <w:t>bw</w:t>
      </w:r>
      <w:proofErr w:type="spellEnd"/>
      <w:r w:rsidRPr="0084686C">
        <w:rPr>
          <w:rFonts w:asciiTheme="minorEastAsia" w:hAnsiTheme="minorEastAsia" w:hint="eastAsia"/>
          <w:sz w:val="24"/>
          <w:szCs w:val="24"/>
        </w:rPr>
        <w:t>为单位。</w:t>
      </w:r>
    </w:p>
    <w:p w:rsidR="0084686C" w:rsidRPr="0084686C" w:rsidRDefault="0084686C" w:rsidP="0084686C">
      <w:pPr>
        <w:rPr>
          <w:rFonts w:asciiTheme="minorEastAsia" w:hAnsiTheme="minorEastAsia" w:hint="eastAsia"/>
          <w:sz w:val="24"/>
          <w:szCs w:val="24"/>
        </w:rPr>
      </w:pPr>
      <w:r w:rsidRPr="0084686C">
        <w:rPr>
          <w:rFonts w:asciiTheme="minorEastAsia" w:hAnsiTheme="minorEastAsia" w:hint="eastAsia"/>
          <w:sz w:val="24"/>
          <w:szCs w:val="24"/>
        </w:rPr>
        <w:t xml:space="preserve">　　（十五）农药使用的良好农业规范Good Agricultural Practice （GAP） for pesticide application: 农药使用的良好农业规范是指农药登记批准的农药使用方法、使用范围、使用剂量、使用次数和安全间隔期等。</w:t>
      </w:r>
    </w:p>
    <w:p w:rsidR="0084686C" w:rsidRPr="0084686C" w:rsidRDefault="0084686C" w:rsidP="0084686C">
      <w:pPr>
        <w:rPr>
          <w:rFonts w:asciiTheme="minorEastAsia" w:hAnsiTheme="minorEastAsia" w:hint="eastAsia"/>
          <w:sz w:val="24"/>
          <w:szCs w:val="24"/>
        </w:rPr>
      </w:pPr>
      <w:r w:rsidRPr="0084686C">
        <w:rPr>
          <w:rFonts w:asciiTheme="minorEastAsia" w:hAnsiTheme="minorEastAsia" w:hint="eastAsia"/>
          <w:sz w:val="24"/>
          <w:szCs w:val="24"/>
        </w:rPr>
        <w:lastRenderedPageBreak/>
        <w:t xml:space="preserve">　　（十六）良好实验室规范Good Laboratory Practice （GLP）:是一种有关非临床人类健康和环境安全试验的设计、实施、查验、记录、归档及报告等的组织过程和条件的质量体系。</w:t>
      </w:r>
    </w:p>
    <w:p w:rsidR="0084686C" w:rsidRPr="0084686C" w:rsidRDefault="0084686C" w:rsidP="0084686C">
      <w:pPr>
        <w:rPr>
          <w:rFonts w:asciiTheme="minorEastAsia" w:hAnsiTheme="minorEastAsia" w:hint="eastAsia"/>
          <w:sz w:val="24"/>
          <w:szCs w:val="24"/>
        </w:rPr>
      </w:pPr>
      <w:r w:rsidRPr="0084686C">
        <w:rPr>
          <w:rFonts w:asciiTheme="minorEastAsia" w:hAnsiTheme="minorEastAsia" w:hint="eastAsia"/>
          <w:sz w:val="24"/>
          <w:szCs w:val="24"/>
        </w:rPr>
        <w:t xml:space="preserve">　　食品中农药最大残留限量制定指南</w:t>
      </w:r>
    </w:p>
    <w:p w:rsidR="0084686C" w:rsidRPr="0084686C" w:rsidRDefault="0084686C" w:rsidP="0084686C">
      <w:pPr>
        <w:rPr>
          <w:rFonts w:asciiTheme="minorEastAsia" w:hAnsiTheme="minorEastAsia" w:hint="eastAsia"/>
          <w:sz w:val="24"/>
          <w:szCs w:val="24"/>
        </w:rPr>
      </w:pPr>
      <w:r w:rsidRPr="0084686C">
        <w:rPr>
          <w:rFonts w:asciiTheme="minorEastAsia" w:hAnsiTheme="minorEastAsia" w:hint="eastAsia"/>
          <w:sz w:val="24"/>
          <w:szCs w:val="24"/>
        </w:rPr>
        <w:t xml:space="preserve">　　为保证农药最大残留限量制定科学、规范、合理，依据《中华人民共和国食品安全法》《中华人民共和国农产品质量安全法》《农药管理条例》《农药登记资料规定》，特制定本指南。</w:t>
      </w:r>
    </w:p>
    <w:p w:rsidR="0084686C" w:rsidRPr="0084686C" w:rsidRDefault="0084686C" w:rsidP="0084686C">
      <w:pPr>
        <w:rPr>
          <w:rFonts w:asciiTheme="minorEastAsia" w:hAnsiTheme="minorEastAsia" w:hint="eastAsia"/>
          <w:sz w:val="24"/>
          <w:szCs w:val="24"/>
        </w:rPr>
      </w:pPr>
      <w:r w:rsidRPr="0084686C">
        <w:rPr>
          <w:rFonts w:asciiTheme="minorEastAsia" w:hAnsiTheme="minorEastAsia" w:hint="eastAsia"/>
          <w:sz w:val="24"/>
          <w:szCs w:val="24"/>
        </w:rPr>
        <w:t xml:space="preserve">　　食品（包括食用农产品）中农药最大残留限量制定是指根据农药使用的良好农业规范（GAP）和规范农药残留试验，推荐农药最大残留水平，参考农药残留风险评估结果，推荐最大残留限量（MRL）。</w:t>
      </w:r>
    </w:p>
    <w:p w:rsidR="0084686C" w:rsidRPr="0084686C" w:rsidRDefault="0084686C" w:rsidP="0084686C">
      <w:pPr>
        <w:rPr>
          <w:rFonts w:asciiTheme="minorEastAsia" w:hAnsiTheme="minorEastAsia" w:hint="eastAsia"/>
          <w:sz w:val="24"/>
          <w:szCs w:val="24"/>
        </w:rPr>
      </w:pPr>
      <w:r w:rsidRPr="0084686C">
        <w:rPr>
          <w:rFonts w:asciiTheme="minorEastAsia" w:hAnsiTheme="minorEastAsia" w:hint="eastAsia"/>
          <w:sz w:val="24"/>
          <w:szCs w:val="24"/>
        </w:rPr>
        <w:t xml:space="preserve">　　本指南用于指导我国食品中农药最大残留限量的制修订。</w:t>
      </w:r>
    </w:p>
    <w:p w:rsidR="0084686C" w:rsidRPr="0084686C" w:rsidRDefault="0084686C" w:rsidP="0084686C">
      <w:pPr>
        <w:rPr>
          <w:rFonts w:asciiTheme="minorEastAsia" w:hAnsiTheme="minorEastAsia" w:hint="eastAsia"/>
          <w:sz w:val="24"/>
          <w:szCs w:val="24"/>
        </w:rPr>
      </w:pPr>
      <w:r w:rsidRPr="0084686C">
        <w:rPr>
          <w:rFonts w:asciiTheme="minorEastAsia" w:hAnsiTheme="minorEastAsia" w:hint="eastAsia"/>
          <w:sz w:val="24"/>
          <w:szCs w:val="24"/>
        </w:rPr>
        <w:t xml:space="preserve">　　一、一般程序</w:t>
      </w:r>
    </w:p>
    <w:p w:rsidR="0084686C" w:rsidRPr="0084686C" w:rsidRDefault="0084686C" w:rsidP="0084686C">
      <w:pPr>
        <w:rPr>
          <w:rFonts w:asciiTheme="minorEastAsia" w:hAnsiTheme="minorEastAsia" w:hint="eastAsia"/>
          <w:sz w:val="24"/>
          <w:szCs w:val="24"/>
        </w:rPr>
      </w:pPr>
      <w:r w:rsidRPr="0084686C">
        <w:rPr>
          <w:rFonts w:asciiTheme="minorEastAsia" w:hAnsiTheme="minorEastAsia" w:hint="eastAsia"/>
          <w:sz w:val="24"/>
          <w:szCs w:val="24"/>
        </w:rPr>
        <w:t xml:space="preserve">　　（一）确定规范残留试验中值（STMR）和最高</w:t>
      </w:r>
      <w:proofErr w:type="gramStart"/>
      <w:r w:rsidRPr="0084686C">
        <w:rPr>
          <w:rFonts w:asciiTheme="minorEastAsia" w:hAnsiTheme="minorEastAsia" w:hint="eastAsia"/>
          <w:sz w:val="24"/>
          <w:szCs w:val="24"/>
        </w:rPr>
        <w:t>残留值</w:t>
      </w:r>
      <w:proofErr w:type="gramEnd"/>
      <w:r w:rsidRPr="0084686C">
        <w:rPr>
          <w:rFonts w:asciiTheme="minorEastAsia" w:hAnsiTheme="minorEastAsia" w:hint="eastAsia"/>
          <w:sz w:val="24"/>
          <w:szCs w:val="24"/>
        </w:rPr>
        <w:t>(HR)</w:t>
      </w:r>
    </w:p>
    <w:p w:rsidR="0084686C" w:rsidRPr="0084686C" w:rsidRDefault="0084686C" w:rsidP="0084686C">
      <w:pPr>
        <w:rPr>
          <w:rFonts w:asciiTheme="minorEastAsia" w:hAnsiTheme="minorEastAsia" w:hint="eastAsia"/>
          <w:sz w:val="24"/>
          <w:szCs w:val="24"/>
        </w:rPr>
      </w:pPr>
      <w:r w:rsidRPr="0084686C">
        <w:rPr>
          <w:rFonts w:asciiTheme="minorEastAsia" w:hAnsiTheme="minorEastAsia" w:hint="eastAsia"/>
          <w:sz w:val="24"/>
          <w:szCs w:val="24"/>
        </w:rPr>
        <w:t xml:space="preserve">　　按照《农药登记资料规定》和《农药残留试验准则》（NY/T 788）要求，在农药使用的良好农业规范（GAP）条件下进行规范残留试验，根据残留试验结果，确定规范残留试验中值（STMR）和最高</w:t>
      </w:r>
      <w:proofErr w:type="gramStart"/>
      <w:r w:rsidRPr="0084686C">
        <w:rPr>
          <w:rFonts w:asciiTheme="minorEastAsia" w:hAnsiTheme="minorEastAsia" w:hint="eastAsia"/>
          <w:sz w:val="24"/>
          <w:szCs w:val="24"/>
        </w:rPr>
        <w:t>残留值</w:t>
      </w:r>
      <w:proofErr w:type="gramEnd"/>
      <w:r w:rsidRPr="0084686C">
        <w:rPr>
          <w:rFonts w:asciiTheme="minorEastAsia" w:hAnsiTheme="minorEastAsia" w:hint="eastAsia"/>
          <w:sz w:val="24"/>
          <w:szCs w:val="24"/>
        </w:rPr>
        <w:t>(HR)。</w:t>
      </w:r>
    </w:p>
    <w:p w:rsidR="0084686C" w:rsidRPr="0084686C" w:rsidRDefault="0084686C" w:rsidP="0084686C">
      <w:pPr>
        <w:rPr>
          <w:rFonts w:asciiTheme="minorEastAsia" w:hAnsiTheme="minorEastAsia" w:hint="eastAsia"/>
          <w:sz w:val="24"/>
          <w:szCs w:val="24"/>
        </w:rPr>
      </w:pPr>
      <w:r w:rsidRPr="0084686C">
        <w:rPr>
          <w:rFonts w:asciiTheme="minorEastAsia" w:hAnsiTheme="minorEastAsia" w:hint="eastAsia"/>
          <w:sz w:val="24"/>
          <w:szCs w:val="24"/>
        </w:rPr>
        <w:t xml:space="preserve">　　（二）确定每日允许摄入量（ADI）和/或急性参考剂量（</w:t>
      </w:r>
      <w:proofErr w:type="spellStart"/>
      <w:r w:rsidRPr="0084686C">
        <w:rPr>
          <w:rFonts w:asciiTheme="minorEastAsia" w:hAnsiTheme="minorEastAsia" w:hint="eastAsia"/>
          <w:sz w:val="24"/>
          <w:szCs w:val="24"/>
        </w:rPr>
        <w:t>ARfD</w:t>
      </w:r>
      <w:proofErr w:type="spellEnd"/>
      <w:r w:rsidRPr="0084686C">
        <w:rPr>
          <w:rFonts w:asciiTheme="minorEastAsia" w:hAnsiTheme="minorEastAsia" w:hint="eastAsia"/>
          <w:sz w:val="24"/>
          <w:szCs w:val="24"/>
        </w:rPr>
        <w:t>）</w:t>
      </w:r>
    </w:p>
    <w:p w:rsidR="0084686C" w:rsidRPr="0084686C" w:rsidRDefault="0084686C" w:rsidP="0084686C">
      <w:pPr>
        <w:rPr>
          <w:rFonts w:asciiTheme="minorEastAsia" w:hAnsiTheme="minorEastAsia" w:hint="eastAsia"/>
          <w:sz w:val="24"/>
          <w:szCs w:val="24"/>
        </w:rPr>
      </w:pPr>
      <w:r w:rsidRPr="0084686C">
        <w:rPr>
          <w:rFonts w:asciiTheme="minorEastAsia" w:hAnsiTheme="minorEastAsia" w:hint="eastAsia"/>
          <w:sz w:val="24"/>
          <w:szCs w:val="24"/>
        </w:rPr>
        <w:t xml:space="preserve">　　根据毒物代谢动力学和毒理学评价结果，制定每日允许摄入量。对于有急性毒性作用的农药，制定急性参考剂量。</w:t>
      </w:r>
    </w:p>
    <w:p w:rsidR="0084686C" w:rsidRPr="0084686C" w:rsidRDefault="0084686C" w:rsidP="0084686C">
      <w:pPr>
        <w:rPr>
          <w:rFonts w:asciiTheme="minorEastAsia" w:hAnsiTheme="minorEastAsia" w:hint="eastAsia"/>
          <w:sz w:val="24"/>
          <w:szCs w:val="24"/>
        </w:rPr>
      </w:pPr>
      <w:r w:rsidRPr="0084686C">
        <w:rPr>
          <w:rFonts w:asciiTheme="minorEastAsia" w:hAnsiTheme="minorEastAsia" w:hint="eastAsia"/>
          <w:sz w:val="24"/>
          <w:szCs w:val="24"/>
        </w:rPr>
        <w:t xml:space="preserve">　　（三）推荐农药最大残留限量（MRL）</w:t>
      </w:r>
    </w:p>
    <w:p w:rsidR="0084686C" w:rsidRPr="0084686C" w:rsidRDefault="0084686C" w:rsidP="0084686C">
      <w:pPr>
        <w:rPr>
          <w:rFonts w:asciiTheme="minorEastAsia" w:hAnsiTheme="minorEastAsia" w:hint="eastAsia"/>
          <w:sz w:val="24"/>
          <w:szCs w:val="24"/>
        </w:rPr>
      </w:pPr>
      <w:r w:rsidRPr="0084686C">
        <w:rPr>
          <w:rFonts w:asciiTheme="minorEastAsia" w:hAnsiTheme="minorEastAsia" w:hint="eastAsia"/>
          <w:sz w:val="24"/>
          <w:szCs w:val="24"/>
        </w:rPr>
        <w:t xml:space="preserve">　　根据规范残留试验数据，确定最大残留水平，依据我国膳食消费数据，计算国家估算每日摄入量，或短期膳食摄入量，进行膳食摄入风险评估，推荐食品安全国家标准农药最大残留限量（MRL）。</w:t>
      </w:r>
    </w:p>
    <w:p w:rsidR="0084686C" w:rsidRPr="0084686C" w:rsidRDefault="0084686C" w:rsidP="0084686C">
      <w:pPr>
        <w:rPr>
          <w:rFonts w:asciiTheme="minorEastAsia" w:hAnsiTheme="minorEastAsia" w:hint="eastAsia"/>
          <w:sz w:val="24"/>
          <w:szCs w:val="24"/>
        </w:rPr>
      </w:pPr>
      <w:r w:rsidRPr="0084686C">
        <w:rPr>
          <w:rFonts w:asciiTheme="minorEastAsia" w:hAnsiTheme="minorEastAsia" w:hint="eastAsia"/>
          <w:sz w:val="24"/>
          <w:szCs w:val="24"/>
        </w:rPr>
        <w:t xml:space="preserve">　　推荐的最大残留限量，低于10mg/kg的保留一位有效数字，高于10mg/kg,低于99mg/kg的保留两位有效数字，高于100mg/kg的用10的倍数表示，最大残留限量通常设置为0.01、0.02、0.03、0.05、0.07、0.1、0.2、0.3、0.5、0.7、1、2、3、5、7、10、15、20、25、30、40和50 mg/kg。</w:t>
      </w:r>
    </w:p>
    <w:p w:rsidR="0084686C" w:rsidRPr="0084686C" w:rsidRDefault="0084686C" w:rsidP="0084686C">
      <w:pPr>
        <w:rPr>
          <w:rFonts w:asciiTheme="minorEastAsia" w:hAnsiTheme="minorEastAsia" w:hint="eastAsia"/>
          <w:sz w:val="24"/>
          <w:szCs w:val="24"/>
        </w:rPr>
      </w:pPr>
      <w:r w:rsidRPr="0084686C">
        <w:rPr>
          <w:rFonts w:asciiTheme="minorEastAsia" w:hAnsiTheme="minorEastAsia" w:hint="eastAsia"/>
          <w:sz w:val="24"/>
          <w:szCs w:val="24"/>
        </w:rPr>
        <w:t xml:space="preserve">　　依据《用于农药残留限量标准制定的作物分类》，可制定适用于同组作物上的最大残留限量。</w:t>
      </w:r>
    </w:p>
    <w:p w:rsidR="0084686C" w:rsidRPr="0084686C" w:rsidRDefault="0084686C" w:rsidP="0084686C">
      <w:pPr>
        <w:rPr>
          <w:rFonts w:asciiTheme="minorEastAsia" w:hAnsiTheme="minorEastAsia" w:hint="eastAsia"/>
          <w:sz w:val="24"/>
          <w:szCs w:val="24"/>
        </w:rPr>
      </w:pPr>
      <w:r w:rsidRPr="0084686C">
        <w:rPr>
          <w:rFonts w:asciiTheme="minorEastAsia" w:hAnsiTheme="minorEastAsia" w:hint="eastAsia"/>
          <w:sz w:val="24"/>
          <w:szCs w:val="24"/>
        </w:rPr>
        <w:t xml:space="preserve">　　二、再评估</w:t>
      </w:r>
    </w:p>
    <w:p w:rsidR="0084686C" w:rsidRPr="0084686C" w:rsidRDefault="0084686C" w:rsidP="0084686C">
      <w:pPr>
        <w:rPr>
          <w:rFonts w:asciiTheme="minorEastAsia" w:hAnsiTheme="minorEastAsia" w:hint="eastAsia"/>
          <w:sz w:val="24"/>
          <w:szCs w:val="24"/>
        </w:rPr>
      </w:pPr>
      <w:r w:rsidRPr="0084686C">
        <w:rPr>
          <w:rFonts w:asciiTheme="minorEastAsia" w:hAnsiTheme="minorEastAsia" w:hint="eastAsia"/>
          <w:sz w:val="24"/>
          <w:szCs w:val="24"/>
        </w:rPr>
        <w:t xml:space="preserve">　　发生以下情况时，应对制定的农药最大残留限量进行再评估：</w:t>
      </w:r>
    </w:p>
    <w:p w:rsidR="0084686C" w:rsidRPr="0084686C" w:rsidRDefault="0084686C" w:rsidP="0084686C">
      <w:pPr>
        <w:rPr>
          <w:rFonts w:asciiTheme="minorEastAsia" w:hAnsiTheme="minorEastAsia" w:hint="eastAsia"/>
          <w:sz w:val="24"/>
          <w:szCs w:val="24"/>
        </w:rPr>
      </w:pPr>
      <w:r w:rsidRPr="0084686C">
        <w:rPr>
          <w:rFonts w:asciiTheme="minorEastAsia" w:hAnsiTheme="minorEastAsia" w:hint="eastAsia"/>
          <w:sz w:val="24"/>
          <w:szCs w:val="24"/>
        </w:rPr>
        <w:t xml:space="preserve">　　（一）批准农药的良好农业规范（GAP）变化较大时；</w:t>
      </w:r>
    </w:p>
    <w:p w:rsidR="0084686C" w:rsidRPr="0084686C" w:rsidRDefault="0084686C" w:rsidP="0084686C">
      <w:pPr>
        <w:rPr>
          <w:rFonts w:asciiTheme="minorEastAsia" w:hAnsiTheme="minorEastAsia" w:hint="eastAsia"/>
          <w:sz w:val="24"/>
          <w:szCs w:val="24"/>
        </w:rPr>
      </w:pPr>
      <w:r w:rsidRPr="0084686C">
        <w:rPr>
          <w:rFonts w:asciiTheme="minorEastAsia" w:hAnsiTheme="minorEastAsia" w:hint="eastAsia"/>
          <w:sz w:val="24"/>
          <w:szCs w:val="24"/>
        </w:rPr>
        <w:t xml:space="preserve">　　（二）毒理学研究证明有新的潜在风险时；</w:t>
      </w:r>
    </w:p>
    <w:p w:rsidR="0084686C" w:rsidRPr="0084686C" w:rsidRDefault="0084686C" w:rsidP="0084686C">
      <w:pPr>
        <w:rPr>
          <w:rFonts w:asciiTheme="minorEastAsia" w:hAnsiTheme="minorEastAsia" w:hint="eastAsia"/>
          <w:sz w:val="24"/>
          <w:szCs w:val="24"/>
        </w:rPr>
      </w:pPr>
      <w:r w:rsidRPr="0084686C">
        <w:rPr>
          <w:rFonts w:asciiTheme="minorEastAsia" w:hAnsiTheme="minorEastAsia" w:hint="eastAsia"/>
          <w:sz w:val="24"/>
          <w:szCs w:val="24"/>
        </w:rPr>
        <w:t xml:space="preserve">　　（三）残留试验数据监测数据显示有新的摄入风险时。</w:t>
      </w:r>
    </w:p>
    <w:p w:rsidR="0084686C" w:rsidRPr="0084686C" w:rsidRDefault="0084686C" w:rsidP="0084686C">
      <w:pPr>
        <w:rPr>
          <w:rFonts w:asciiTheme="minorEastAsia" w:hAnsiTheme="minorEastAsia" w:hint="eastAsia"/>
          <w:sz w:val="24"/>
          <w:szCs w:val="24"/>
        </w:rPr>
      </w:pPr>
      <w:r w:rsidRPr="0084686C">
        <w:rPr>
          <w:rFonts w:asciiTheme="minorEastAsia" w:hAnsiTheme="minorEastAsia" w:hint="eastAsia"/>
          <w:sz w:val="24"/>
          <w:szCs w:val="24"/>
        </w:rPr>
        <w:t xml:space="preserve">　　（四）农药残留标准审评委员会认定的其他情况。</w:t>
      </w:r>
    </w:p>
    <w:p w:rsidR="0084686C" w:rsidRPr="0084686C" w:rsidRDefault="0084686C" w:rsidP="0084686C">
      <w:pPr>
        <w:rPr>
          <w:rFonts w:asciiTheme="minorEastAsia" w:hAnsiTheme="minorEastAsia" w:hint="eastAsia"/>
          <w:sz w:val="24"/>
          <w:szCs w:val="24"/>
        </w:rPr>
      </w:pPr>
      <w:r w:rsidRPr="0084686C">
        <w:rPr>
          <w:rFonts w:asciiTheme="minorEastAsia" w:hAnsiTheme="minorEastAsia" w:hint="eastAsia"/>
          <w:sz w:val="24"/>
          <w:szCs w:val="24"/>
        </w:rPr>
        <w:t xml:space="preserve">　　再评估应遵从农药最大残留限量标准制定程序进行。</w:t>
      </w:r>
    </w:p>
    <w:p w:rsidR="0084686C" w:rsidRPr="0084686C" w:rsidRDefault="0084686C" w:rsidP="0084686C">
      <w:pPr>
        <w:rPr>
          <w:rFonts w:asciiTheme="minorEastAsia" w:hAnsiTheme="minorEastAsia" w:hint="eastAsia"/>
          <w:sz w:val="24"/>
          <w:szCs w:val="24"/>
        </w:rPr>
      </w:pPr>
      <w:r w:rsidRPr="0084686C">
        <w:rPr>
          <w:rFonts w:asciiTheme="minorEastAsia" w:hAnsiTheme="minorEastAsia" w:hint="eastAsia"/>
          <w:sz w:val="24"/>
          <w:szCs w:val="24"/>
        </w:rPr>
        <w:t xml:space="preserve">　　三、周期评估</w:t>
      </w:r>
    </w:p>
    <w:p w:rsidR="0084686C" w:rsidRPr="0084686C" w:rsidRDefault="0084686C" w:rsidP="0084686C">
      <w:pPr>
        <w:rPr>
          <w:rFonts w:asciiTheme="minorEastAsia" w:hAnsiTheme="minorEastAsia" w:hint="eastAsia"/>
          <w:sz w:val="24"/>
          <w:szCs w:val="24"/>
        </w:rPr>
      </w:pPr>
      <w:r w:rsidRPr="0084686C">
        <w:rPr>
          <w:rFonts w:asciiTheme="minorEastAsia" w:hAnsiTheme="minorEastAsia" w:hint="eastAsia"/>
          <w:sz w:val="24"/>
          <w:szCs w:val="24"/>
        </w:rPr>
        <w:t xml:space="preserve">　　为保证农药最大残留限量的时效性和有效性，实行农药最大残留限量周期评估制度，评估周期为15年，临时限量和再残留限量的评估周期为5年。</w:t>
      </w:r>
    </w:p>
    <w:p w:rsidR="0084686C" w:rsidRPr="0084686C" w:rsidRDefault="0084686C" w:rsidP="0084686C">
      <w:pPr>
        <w:rPr>
          <w:rFonts w:asciiTheme="minorEastAsia" w:hAnsiTheme="minorEastAsia" w:hint="eastAsia"/>
          <w:sz w:val="24"/>
          <w:szCs w:val="24"/>
        </w:rPr>
      </w:pPr>
      <w:r w:rsidRPr="0084686C">
        <w:rPr>
          <w:rFonts w:asciiTheme="minorEastAsia" w:hAnsiTheme="minorEastAsia" w:hint="eastAsia"/>
          <w:sz w:val="24"/>
          <w:szCs w:val="24"/>
        </w:rPr>
        <w:t xml:space="preserve">　　四、特殊情况</w:t>
      </w:r>
    </w:p>
    <w:p w:rsidR="0084686C" w:rsidRPr="0084686C" w:rsidRDefault="0084686C" w:rsidP="0084686C">
      <w:pPr>
        <w:rPr>
          <w:rFonts w:asciiTheme="minorEastAsia" w:hAnsiTheme="minorEastAsia" w:hint="eastAsia"/>
          <w:sz w:val="24"/>
          <w:szCs w:val="24"/>
        </w:rPr>
      </w:pPr>
      <w:r w:rsidRPr="0084686C">
        <w:rPr>
          <w:rFonts w:asciiTheme="minorEastAsia" w:hAnsiTheme="minorEastAsia" w:hint="eastAsia"/>
          <w:sz w:val="24"/>
          <w:szCs w:val="24"/>
        </w:rPr>
        <w:t xml:space="preserve">　　（一）临时限量</w:t>
      </w:r>
    </w:p>
    <w:p w:rsidR="0084686C" w:rsidRPr="0084686C" w:rsidRDefault="0084686C" w:rsidP="0084686C">
      <w:pPr>
        <w:rPr>
          <w:rFonts w:asciiTheme="minorEastAsia" w:hAnsiTheme="minorEastAsia" w:hint="eastAsia"/>
          <w:sz w:val="24"/>
          <w:szCs w:val="24"/>
        </w:rPr>
      </w:pPr>
      <w:r w:rsidRPr="0084686C">
        <w:rPr>
          <w:rFonts w:asciiTheme="minorEastAsia" w:hAnsiTheme="minorEastAsia" w:hint="eastAsia"/>
          <w:sz w:val="24"/>
          <w:szCs w:val="24"/>
        </w:rPr>
        <w:t xml:space="preserve">　　当下述情形发生时，可以制定临时限量标准：</w:t>
      </w:r>
    </w:p>
    <w:p w:rsidR="0084686C" w:rsidRPr="0084686C" w:rsidRDefault="0084686C" w:rsidP="0084686C">
      <w:pPr>
        <w:rPr>
          <w:rFonts w:asciiTheme="minorEastAsia" w:hAnsiTheme="minorEastAsia" w:hint="eastAsia"/>
          <w:sz w:val="24"/>
          <w:szCs w:val="24"/>
        </w:rPr>
      </w:pPr>
      <w:r w:rsidRPr="0084686C">
        <w:rPr>
          <w:rFonts w:asciiTheme="minorEastAsia" w:hAnsiTheme="minorEastAsia" w:hint="eastAsia"/>
          <w:sz w:val="24"/>
          <w:szCs w:val="24"/>
        </w:rPr>
        <w:t xml:space="preserve">　　1.每日允许摄入量是临时值时；</w:t>
      </w:r>
    </w:p>
    <w:p w:rsidR="0084686C" w:rsidRPr="0084686C" w:rsidRDefault="0084686C" w:rsidP="0084686C">
      <w:pPr>
        <w:rPr>
          <w:rFonts w:asciiTheme="minorEastAsia" w:hAnsiTheme="minorEastAsia" w:hint="eastAsia"/>
          <w:sz w:val="24"/>
          <w:szCs w:val="24"/>
        </w:rPr>
      </w:pPr>
      <w:r w:rsidRPr="0084686C">
        <w:rPr>
          <w:rFonts w:asciiTheme="minorEastAsia" w:hAnsiTheme="minorEastAsia" w:hint="eastAsia"/>
          <w:sz w:val="24"/>
          <w:szCs w:val="24"/>
        </w:rPr>
        <w:t xml:space="preserve">　　2.没有完善或可靠的膳食数据时；</w:t>
      </w:r>
    </w:p>
    <w:p w:rsidR="0084686C" w:rsidRPr="0084686C" w:rsidRDefault="0084686C" w:rsidP="0084686C">
      <w:pPr>
        <w:rPr>
          <w:rFonts w:asciiTheme="minorEastAsia" w:hAnsiTheme="minorEastAsia" w:hint="eastAsia"/>
          <w:sz w:val="24"/>
          <w:szCs w:val="24"/>
        </w:rPr>
      </w:pPr>
      <w:r w:rsidRPr="0084686C">
        <w:rPr>
          <w:rFonts w:asciiTheme="minorEastAsia" w:hAnsiTheme="minorEastAsia" w:hint="eastAsia"/>
          <w:sz w:val="24"/>
          <w:szCs w:val="24"/>
        </w:rPr>
        <w:lastRenderedPageBreak/>
        <w:t xml:space="preserve">　　3.没有符合要求的残留检验方法标准时；</w:t>
      </w:r>
    </w:p>
    <w:p w:rsidR="0084686C" w:rsidRPr="0084686C" w:rsidRDefault="0084686C" w:rsidP="0084686C">
      <w:pPr>
        <w:rPr>
          <w:rFonts w:asciiTheme="minorEastAsia" w:hAnsiTheme="minorEastAsia" w:hint="eastAsia"/>
          <w:sz w:val="24"/>
          <w:szCs w:val="24"/>
        </w:rPr>
      </w:pPr>
      <w:r w:rsidRPr="0084686C">
        <w:rPr>
          <w:rFonts w:asciiTheme="minorEastAsia" w:hAnsiTheme="minorEastAsia" w:hint="eastAsia"/>
          <w:sz w:val="24"/>
          <w:szCs w:val="24"/>
        </w:rPr>
        <w:t xml:space="preserve">　　4.农药或农药/作物组合在我国没有登记，当存在国际贸易和进口检验需求时；</w:t>
      </w:r>
    </w:p>
    <w:p w:rsidR="0084686C" w:rsidRPr="0084686C" w:rsidRDefault="0084686C" w:rsidP="0084686C">
      <w:pPr>
        <w:rPr>
          <w:rFonts w:asciiTheme="minorEastAsia" w:hAnsiTheme="minorEastAsia" w:hint="eastAsia"/>
          <w:sz w:val="24"/>
          <w:szCs w:val="24"/>
        </w:rPr>
      </w:pPr>
      <w:r w:rsidRPr="0084686C">
        <w:rPr>
          <w:rFonts w:asciiTheme="minorEastAsia" w:hAnsiTheme="minorEastAsia" w:hint="eastAsia"/>
          <w:sz w:val="24"/>
          <w:szCs w:val="24"/>
        </w:rPr>
        <w:t xml:space="preserve">　　5.在紧急情况下，农药被批准在未登记作物上使用时，制定紧急限量标准，并对其适用范围和时间进行限定；</w:t>
      </w:r>
    </w:p>
    <w:p w:rsidR="0084686C" w:rsidRPr="0084686C" w:rsidRDefault="0084686C" w:rsidP="0084686C">
      <w:pPr>
        <w:rPr>
          <w:rFonts w:asciiTheme="minorEastAsia" w:hAnsiTheme="minorEastAsia" w:hint="eastAsia"/>
          <w:sz w:val="24"/>
          <w:szCs w:val="24"/>
        </w:rPr>
      </w:pPr>
      <w:r w:rsidRPr="0084686C">
        <w:rPr>
          <w:rFonts w:asciiTheme="minorEastAsia" w:hAnsiTheme="minorEastAsia" w:hint="eastAsia"/>
          <w:sz w:val="24"/>
          <w:szCs w:val="24"/>
        </w:rPr>
        <w:t xml:space="preserve">　　6.其他资料不完全满足评估程序要求时。</w:t>
      </w:r>
    </w:p>
    <w:p w:rsidR="0084686C" w:rsidRPr="0084686C" w:rsidRDefault="0084686C" w:rsidP="0084686C">
      <w:pPr>
        <w:rPr>
          <w:rFonts w:asciiTheme="minorEastAsia" w:hAnsiTheme="minorEastAsia" w:hint="eastAsia"/>
          <w:sz w:val="24"/>
          <w:szCs w:val="24"/>
        </w:rPr>
      </w:pPr>
      <w:r w:rsidRPr="0084686C">
        <w:rPr>
          <w:rFonts w:asciiTheme="minorEastAsia" w:hAnsiTheme="minorEastAsia" w:hint="eastAsia"/>
          <w:sz w:val="24"/>
          <w:szCs w:val="24"/>
        </w:rPr>
        <w:t xml:space="preserve">　　临时限量标准的制定应参照农药最大残留限量标准制定程序进行。当获得新的数据时，应及时进行修订。</w:t>
      </w:r>
    </w:p>
    <w:p w:rsidR="0084686C" w:rsidRPr="0084686C" w:rsidRDefault="0084686C" w:rsidP="0084686C">
      <w:pPr>
        <w:rPr>
          <w:rFonts w:asciiTheme="minorEastAsia" w:hAnsiTheme="minorEastAsia" w:hint="eastAsia"/>
          <w:sz w:val="24"/>
          <w:szCs w:val="24"/>
        </w:rPr>
      </w:pPr>
      <w:r w:rsidRPr="0084686C">
        <w:rPr>
          <w:rFonts w:asciiTheme="minorEastAsia" w:hAnsiTheme="minorEastAsia" w:hint="eastAsia"/>
          <w:sz w:val="24"/>
          <w:szCs w:val="24"/>
        </w:rPr>
        <w:t xml:space="preserve">　　（二）再残留限量</w:t>
      </w:r>
    </w:p>
    <w:p w:rsidR="0084686C" w:rsidRPr="0084686C" w:rsidRDefault="0084686C" w:rsidP="0084686C">
      <w:pPr>
        <w:rPr>
          <w:rFonts w:asciiTheme="minorEastAsia" w:hAnsiTheme="minorEastAsia" w:hint="eastAsia"/>
          <w:sz w:val="24"/>
          <w:szCs w:val="24"/>
        </w:rPr>
      </w:pPr>
      <w:r w:rsidRPr="0084686C">
        <w:rPr>
          <w:rFonts w:asciiTheme="minorEastAsia" w:hAnsiTheme="minorEastAsia" w:hint="eastAsia"/>
          <w:sz w:val="24"/>
          <w:szCs w:val="24"/>
        </w:rPr>
        <w:t xml:space="preserve">　　对已经禁止使用且不易降解的农药，因在环境中长期稳定存在而引起在作物上的残留，需要制定再残留限量（EMRL）。再残留限量是通过实施国家监测计划获得的残留数据进行风险评估制修订的。</w:t>
      </w:r>
    </w:p>
    <w:p w:rsidR="0084686C" w:rsidRPr="0084686C" w:rsidRDefault="0084686C" w:rsidP="0084686C">
      <w:pPr>
        <w:rPr>
          <w:rFonts w:asciiTheme="minorEastAsia" w:hAnsiTheme="minorEastAsia" w:hint="eastAsia"/>
          <w:sz w:val="24"/>
          <w:szCs w:val="24"/>
        </w:rPr>
      </w:pPr>
      <w:r w:rsidRPr="0084686C">
        <w:rPr>
          <w:rFonts w:asciiTheme="minorEastAsia" w:hAnsiTheme="minorEastAsia" w:hint="eastAsia"/>
          <w:sz w:val="24"/>
          <w:szCs w:val="24"/>
        </w:rPr>
        <w:t xml:space="preserve">　　（三）豁免残留限量</w:t>
      </w:r>
    </w:p>
    <w:p w:rsidR="0084686C" w:rsidRPr="0084686C" w:rsidRDefault="0084686C" w:rsidP="0084686C">
      <w:pPr>
        <w:rPr>
          <w:rFonts w:asciiTheme="minorEastAsia" w:hAnsiTheme="minorEastAsia" w:hint="eastAsia"/>
          <w:sz w:val="24"/>
          <w:szCs w:val="24"/>
        </w:rPr>
      </w:pPr>
      <w:r w:rsidRPr="0084686C">
        <w:rPr>
          <w:rFonts w:asciiTheme="minorEastAsia" w:hAnsiTheme="minorEastAsia" w:hint="eastAsia"/>
          <w:sz w:val="24"/>
          <w:szCs w:val="24"/>
        </w:rPr>
        <w:t xml:space="preserve">　　当存在下述情形时，豁免制定残留限量：</w:t>
      </w:r>
    </w:p>
    <w:p w:rsidR="0084686C" w:rsidRPr="0084686C" w:rsidRDefault="0084686C" w:rsidP="0084686C">
      <w:pPr>
        <w:rPr>
          <w:rFonts w:asciiTheme="minorEastAsia" w:hAnsiTheme="minorEastAsia" w:hint="eastAsia"/>
          <w:sz w:val="24"/>
          <w:szCs w:val="24"/>
        </w:rPr>
      </w:pPr>
      <w:r w:rsidRPr="0084686C">
        <w:rPr>
          <w:rFonts w:asciiTheme="minorEastAsia" w:hAnsiTheme="minorEastAsia" w:hint="eastAsia"/>
          <w:sz w:val="24"/>
          <w:szCs w:val="24"/>
        </w:rPr>
        <w:t xml:space="preserve">　　1．当农药毒性很低，按照标签规定使用后，食品中农药残留不会对健康产生不可接受风险时；</w:t>
      </w:r>
    </w:p>
    <w:p w:rsidR="0084686C" w:rsidRPr="0084686C" w:rsidRDefault="0084686C" w:rsidP="0084686C">
      <w:pPr>
        <w:rPr>
          <w:rFonts w:asciiTheme="minorEastAsia" w:hAnsiTheme="minorEastAsia" w:hint="eastAsia"/>
          <w:sz w:val="24"/>
          <w:szCs w:val="24"/>
        </w:rPr>
      </w:pPr>
      <w:r w:rsidRPr="0084686C">
        <w:rPr>
          <w:rFonts w:asciiTheme="minorEastAsia" w:hAnsiTheme="minorEastAsia" w:hint="eastAsia"/>
          <w:sz w:val="24"/>
          <w:szCs w:val="24"/>
        </w:rPr>
        <w:t xml:space="preserve">　　2．当农药的使用仅带来微小的膳食摄入风险时。</w:t>
      </w:r>
    </w:p>
    <w:p w:rsidR="0084686C" w:rsidRPr="0084686C" w:rsidRDefault="0084686C" w:rsidP="0084686C">
      <w:pPr>
        <w:rPr>
          <w:rFonts w:asciiTheme="minorEastAsia" w:hAnsiTheme="minorEastAsia" w:hint="eastAsia"/>
          <w:sz w:val="24"/>
          <w:szCs w:val="24"/>
        </w:rPr>
      </w:pPr>
      <w:r w:rsidRPr="0084686C">
        <w:rPr>
          <w:rFonts w:asciiTheme="minorEastAsia" w:hAnsiTheme="minorEastAsia" w:hint="eastAsia"/>
          <w:sz w:val="24"/>
          <w:szCs w:val="24"/>
        </w:rPr>
        <w:t xml:space="preserve">　　豁免制定残留限量的农药需要根据具体农药的毒性和使用方法逐个进行风险评估确定。</w:t>
      </w:r>
    </w:p>
    <w:p w:rsidR="0084686C" w:rsidRPr="0084686C" w:rsidRDefault="0084686C" w:rsidP="0084686C">
      <w:pPr>
        <w:rPr>
          <w:rFonts w:asciiTheme="minorEastAsia" w:hAnsiTheme="minorEastAsia" w:hint="eastAsia"/>
          <w:sz w:val="24"/>
          <w:szCs w:val="24"/>
        </w:rPr>
      </w:pPr>
      <w:r w:rsidRPr="0084686C">
        <w:rPr>
          <w:rFonts w:asciiTheme="minorEastAsia" w:hAnsiTheme="minorEastAsia" w:hint="eastAsia"/>
          <w:sz w:val="24"/>
          <w:szCs w:val="24"/>
        </w:rPr>
        <w:t xml:space="preserve">　　（四）香料/调味品产品中最大残留限量</w:t>
      </w:r>
    </w:p>
    <w:p w:rsidR="0084686C" w:rsidRPr="0084686C" w:rsidRDefault="0084686C" w:rsidP="0084686C">
      <w:pPr>
        <w:rPr>
          <w:rFonts w:asciiTheme="minorEastAsia" w:hAnsiTheme="minorEastAsia" w:hint="eastAsia"/>
          <w:sz w:val="24"/>
          <w:szCs w:val="24"/>
        </w:rPr>
      </w:pPr>
      <w:r w:rsidRPr="0084686C">
        <w:rPr>
          <w:rFonts w:asciiTheme="minorEastAsia" w:hAnsiTheme="minorEastAsia" w:hint="eastAsia"/>
          <w:sz w:val="24"/>
          <w:szCs w:val="24"/>
        </w:rPr>
        <w:t xml:space="preserve">　　在没有规范残留试验数据的条件下，可以使用监测数据，但需要提供详细的种植和生产情况以及足够的监测数据，制定程序参照农药最大残留限量标准制定。</w:t>
      </w:r>
    </w:p>
    <w:p w:rsidR="0084686C" w:rsidRPr="0084686C" w:rsidRDefault="0084686C" w:rsidP="0084686C">
      <w:pPr>
        <w:rPr>
          <w:rFonts w:asciiTheme="minorEastAsia" w:hAnsiTheme="minorEastAsia" w:hint="eastAsia"/>
          <w:sz w:val="24"/>
          <w:szCs w:val="24"/>
        </w:rPr>
      </w:pPr>
      <w:r w:rsidRPr="0084686C">
        <w:rPr>
          <w:rFonts w:asciiTheme="minorEastAsia" w:hAnsiTheme="minorEastAsia" w:hint="eastAsia"/>
          <w:sz w:val="24"/>
          <w:szCs w:val="24"/>
        </w:rPr>
        <w:t xml:space="preserve">　　五、术语</w:t>
      </w:r>
    </w:p>
    <w:p w:rsidR="0084686C" w:rsidRPr="0084686C" w:rsidRDefault="0084686C" w:rsidP="0084686C">
      <w:pPr>
        <w:rPr>
          <w:rFonts w:asciiTheme="minorEastAsia" w:hAnsiTheme="minorEastAsia" w:hint="eastAsia"/>
          <w:sz w:val="24"/>
          <w:szCs w:val="24"/>
        </w:rPr>
      </w:pPr>
      <w:r w:rsidRPr="0084686C">
        <w:rPr>
          <w:rFonts w:asciiTheme="minorEastAsia" w:hAnsiTheme="minorEastAsia" w:hint="eastAsia"/>
          <w:sz w:val="24"/>
          <w:szCs w:val="24"/>
        </w:rPr>
        <w:t xml:space="preserve">　　（一）农药使用的良好农业规范 Good Agricultural Practice（GAP） for pesticide application：农药使用的良好农业规范是指农药登记批准的农药使用方法、使用范围、使用剂量、使用次数和安全间隔期等。</w:t>
      </w:r>
    </w:p>
    <w:p w:rsidR="0084686C" w:rsidRPr="0084686C" w:rsidRDefault="0084686C" w:rsidP="0084686C">
      <w:pPr>
        <w:rPr>
          <w:rFonts w:asciiTheme="minorEastAsia" w:hAnsiTheme="minorEastAsia" w:hint="eastAsia"/>
          <w:sz w:val="24"/>
          <w:szCs w:val="24"/>
        </w:rPr>
      </w:pPr>
      <w:r w:rsidRPr="0084686C">
        <w:rPr>
          <w:rFonts w:asciiTheme="minorEastAsia" w:hAnsiTheme="minorEastAsia" w:hint="eastAsia"/>
          <w:sz w:val="24"/>
          <w:szCs w:val="24"/>
        </w:rPr>
        <w:t xml:space="preserve">　　（二）规范残留试验Supervised Field Trials：是指在良好农业规范（GAP）和良好实验室规范（GLP）或相似条件下，为获取推荐使用的农药在可食用（或饲用）初级农产品和土壤中可能的最高残留值，以及这些农药在农产品、土壤（或水）中的消解动态而进行的试验。</w:t>
      </w:r>
    </w:p>
    <w:p w:rsidR="0084686C" w:rsidRPr="0084686C" w:rsidRDefault="0084686C" w:rsidP="0084686C">
      <w:pPr>
        <w:rPr>
          <w:rFonts w:asciiTheme="minorEastAsia" w:hAnsiTheme="minorEastAsia" w:hint="eastAsia"/>
          <w:sz w:val="24"/>
          <w:szCs w:val="24"/>
        </w:rPr>
      </w:pPr>
      <w:r w:rsidRPr="0084686C">
        <w:rPr>
          <w:rFonts w:asciiTheme="minorEastAsia" w:hAnsiTheme="minorEastAsia" w:hint="eastAsia"/>
          <w:sz w:val="24"/>
          <w:szCs w:val="24"/>
        </w:rPr>
        <w:t xml:space="preserve">　　（三）最大残留限量 Maximum Residue Limit（MRL)：是在食品或农产品内部或表面法定允许的农药最大浓度，以每千克食品或农产品中农药残留的毫克数表示（mg/kg）。</w:t>
      </w:r>
    </w:p>
    <w:p w:rsidR="0084686C" w:rsidRPr="0084686C" w:rsidRDefault="0084686C" w:rsidP="0084686C">
      <w:pPr>
        <w:rPr>
          <w:rFonts w:asciiTheme="minorEastAsia" w:hAnsiTheme="minorEastAsia" w:hint="eastAsia"/>
          <w:sz w:val="24"/>
          <w:szCs w:val="24"/>
        </w:rPr>
      </w:pPr>
      <w:r w:rsidRPr="0084686C">
        <w:rPr>
          <w:rFonts w:asciiTheme="minorEastAsia" w:hAnsiTheme="minorEastAsia" w:hint="eastAsia"/>
          <w:sz w:val="24"/>
          <w:szCs w:val="24"/>
        </w:rPr>
        <w:t xml:space="preserve">　　（四）再残留限量（EMRL）：一些持久性农药虽然已禁用，但还长期存在环境中，从而再次在食品中形成残留，为控制这类农药残留物对食品的污染而制定其在食品中的残留限量，以每千克食品或农产品中农药残留的毫克数表示（mg/kg）。</w:t>
      </w:r>
    </w:p>
    <w:p w:rsidR="0084686C" w:rsidRPr="0084686C" w:rsidRDefault="0084686C" w:rsidP="0084686C">
      <w:pPr>
        <w:rPr>
          <w:rFonts w:asciiTheme="minorEastAsia" w:hAnsiTheme="minorEastAsia" w:hint="eastAsia"/>
          <w:sz w:val="24"/>
          <w:szCs w:val="24"/>
        </w:rPr>
      </w:pPr>
      <w:r w:rsidRPr="0084686C">
        <w:rPr>
          <w:rFonts w:asciiTheme="minorEastAsia" w:hAnsiTheme="minorEastAsia" w:hint="eastAsia"/>
          <w:sz w:val="24"/>
          <w:szCs w:val="24"/>
        </w:rPr>
        <w:t xml:space="preserve">　　（五）每日允许摄入量 Acceptable Daily Intake (ADI)：人类终生每日</w:t>
      </w:r>
      <w:proofErr w:type="gramStart"/>
      <w:r w:rsidRPr="0084686C">
        <w:rPr>
          <w:rFonts w:asciiTheme="minorEastAsia" w:hAnsiTheme="minorEastAsia" w:hint="eastAsia"/>
          <w:sz w:val="24"/>
          <w:szCs w:val="24"/>
        </w:rPr>
        <w:t>摄入某</w:t>
      </w:r>
      <w:proofErr w:type="gramEnd"/>
      <w:r w:rsidRPr="0084686C">
        <w:rPr>
          <w:rFonts w:asciiTheme="minorEastAsia" w:hAnsiTheme="minorEastAsia" w:hint="eastAsia"/>
          <w:sz w:val="24"/>
          <w:szCs w:val="24"/>
        </w:rPr>
        <w:t xml:space="preserve">物质，而不产生可检测到的危害健康的估计量，以每千克体重可摄入的量表示（mg/kg </w:t>
      </w:r>
      <w:proofErr w:type="spellStart"/>
      <w:r w:rsidRPr="0084686C">
        <w:rPr>
          <w:rFonts w:asciiTheme="minorEastAsia" w:hAnsiTheme="minorEastAsia" w:hint="eastAsia"/>
          <w:sz w:val="24"/>
          <w:szCs w:val="24"/>
        </w:rPr>
        <w:t>bw</w:t>
      </w:r>
      <w:proofErr w:type="spellEnd"/>
      <w:r w:rsidRPr="0084686C">
        <w:rPr>
          <w:rFonts w:asciiTheme="minorEastAsia" w:hAnsiTheme="minorEastAsia" w:hint="eastAsia"/>
          <w:sz w:val="24"/>
          <w:szCs w:val="24"/>
        </w:rPr>
        <w:t>）。</w:t>
      </w:r>
    </w:p>
    <w:p w:rsidR="0084686C" w:rsidRPr="0084686C" w:rsidRDefault="0084686C" w:rsidP="0084686C">
      <w:pPr>
        <w:rPr>
          <w:rFonts w:asciiTheme="minorEastAsia" w:hAnsiTheme="minorEastAsia" w:hint="eastAsia"/>
          <w:sz w:val="24"/>
          <w:szCs w:val="24"/>
        </w:rPr>
      </w:pPr>
      <w:r w:rsidRPr="0084686C">
        <w:rPr>
          <w:rFonts w:asciiTheme="minorEastAsia" w:hAnsiTheme="minorEastAsia" w:hint="eastAsia"/>
          <w:sz w:val="24"/>
          <w:szCs w:val="24"/>
        </w:rPr>
        <w:t xml:space="preserve">　　（六）急性参考剂量 Acute Reference Dose (</w:t>
      </w:r>
      <w:proofErr w:type="spellStart"/>
      <w:r w:rsidRPr="0084686C">
        <w:rPr>
          <w:rFonts w:asciiTheme="minorEastAsia" w:hAnsiTheme="minorEastAsia" w:hint="eastAsia"/>
          <w:sz w:val="24"/>
          <w:szCs w:val="24"/>
        </w:rPr>
        <w:t>ARfD</w:t>
      </w:r>
      <w:proofErr w:type="spellEnd"/>
      <w:r w:rsidRPr="0084686C">
        <w:rPr>
          <w:rFonts w:asciiTheme="minorEastAsia" w:hAnsiTheme="minorEastAsia" w:hint="eastAsia"/>
          <w:sz w:val="24"/>
          <w:szCs w:val="24"/>
        </w:rPr>
        <w:t>)：</w:t>
      </w:r>
    </w:p>
    <w:p w:rsidR="0084686C" w:rsidRPr="0084686C" w:rsidRDefault="0084686C" w:rsidP="0084686C">
      <w:pPr>
        <w:rPr>
          <w:rFonts w:asciiTheme="minorEastAsia" w:hAnsiTheme="minorEastAsia" w:hint="eastAsia"/>
          <w:sz w:val="24"/>
          <w:szCs w:val="24"/>
        </w:rPr>
      </w:pPr>
      <w:r w:rsidRPr="0084686C">
        <w:rPr>
          <w:rFonts w:asciiTheme="minorEastAsia" w:hAnsiTheme="minorEastAsia" w:hint="eastAsia"/>
          <w:sz w:val="24"/>
          <w:szCs w:val="24"/>
        </w:rPr>
        <w:t xml:space="preserve">　　人类在24小时或更短时间内，通过膳食或饮水</w:t>
      </w:r>
      <w:proofErr w:type="gramStart"/>
      <w:r w:rsidRPr="0084686C">
        <w:rPr>
          <w:rFonts w:asciiTheme="minorEastAsia" w:hAnsiTheme="minorEastAsia" w:hint="eastAsia"/>
          <w:sz w:val="24"/>
          <w:szCs w:val="24"/>
        </w:rPr>
        <w:t>摄入某</w:t>
      </w:r>
      <w:proofErr w:type="gramEnd"/>
      <w:r w:rsidRPr="0084686C">
        <w:rPr>
          <w:rFonts w:asciiTheme="minorEastAsia" w:hAnsiTheme="minorEastAsia" w:hint="eastAsia"/>
          <w:sz w:val="24"/>
          <w:szCs w:val="24"/>
        </w:rPr>
        <w:t xml:space="preserve">物质，而不产生可检测到的危害健康的估计量，以每千克体重可摄入的量表示（mg/kg </w:t>
      </w:r>
      <w:proofErr w:type="spellStart"/>
      <w:r w:rsidRPr="0084686C">
        <w:rPr>
          <w:rFonts w:asciiTheme="minorEastAsia" w:hAnsiTheme="minorEastAsia" w:hint="eastAsia"/>
          <w:sz w:val="24"/>
          <w:szCs w:val="24"/>
        </w:rPr>
        <w:t>bw</w:t>
      </w:r>
      <w:proofErr w:type="spellEnd"/>
      <w:r w:rsidRPr="0084686C">
        <w:rPr>
          <w:rFonts w:asciiTheme="minorEastAsia" w:hAnsiTheme="minorEastAsia" w:hint="eastAsia"/>
          <w:sz w:val="24"/>
          <w:szCs w:val="24"/>
        </w:rPr>
        <w:t>）。</w:t>
      </w:r>
    </w:p>
    <w:p w:rsidR="0084686C" w:rsidRPr="0084686C" w:rsidRDefault="0084686C" w:rsidP="0084686C">
      <w:pPr>
        <w:rPr>
          <w:rFonts w:asciiTheme="minorEastAsia" w:hAnsiTheme="minorEastAsia"/>
          <w:sz w:val="24"/>
          <w:szCs w:val="24"/>
        </w:rPr>
      </w:pPr>
      <w:r w:rsidRPr="0084686C">
        <w:rPr>
          <w:rFonts w:asciiTheme="minorEastAsia" w:hAnsiTheme="minorEastAsia"/>
          <w:sz w:val="24"/>
          <w:szCs w:val="24"/>
        </w:rPr>
        <w:t xml:space="preserve"> </w:t>
      </w:r>
    </w:p>
    <w:p w:rsidR="0084686C" w:rsidRPr="0084686C" w:rsidRDefault="0084686C" w:rsidP="0084686C">
      <w:pPr>
        <w:rPr>
          <w:rFonts w:asciiTheme="minorEastAsia" w:hAnsiTheme="minorEastAsia" w:hint="eastAsia"/>
          <w:sz w:val="24"/>
          <w:szCs w:val="24"/>
        </w:rPr>
      </w:pPr>
      <w:r w:rsidRPr="0084686C">
        <w:rPr>
          <w:rFonts w:asciiTheme="minorEastAsia" w:hAnsiTheme="minorEastAsia" w:hint="eastAsia"/>
          <w:sz w:val="24"/>
          <w:szCs w:val="24"/>
        </w:rPr>
        <w:lastRenderedPageBreak/>
        <w:t xml:space="preserve">　　（七）风险评估Risk Assessment：是指对人类由于接触危险物质而对健康具有已知或可能的严重不良作用的科学评估。包括危害确认，危害特征描述，暴露评估和风险表述。</w:t>
      </w:r>
    </w:p>
    <w:p w:rsidR="0084686C" w:rsidRPr="0084686C" w:rsidRDefault="0084686C" w:rsidP="0084686C">
      <w:pPr>
        <w:rPr>
          <w:rFonts w:asciiTheme="minorEastAsia" w:hAnsiTheme="minorEastAsia" w:hint="eastAsia"/>
          <w:sz w:val="24"/>
          <w:szCs w:val="24"/>
        </w:rPr>
      </w:pPr>
      <w:r w:rsidRPr="0084686C">
        <w:rPr>
          <w:rFonts w:asciiTheme="minorEastAsia" w:hAnsiTheme="minorEastAsia" w:hint="eastAsia"/>
          <w:sz w:val="24"/>
          <w:szCs w:val="24"/>
        </w:rPr>
        <w:t xml:space="preserve">　　（八）规范残留试验中值Supervised Trials Median Residue（STMR）：有效残留数据的中间值。</w:t>
      </w:r>
    </w:p>
    <w:p w:rsidR="0084686C" w:rsidRPr="0084686C" w:rsidRDefault="0084686C" w:rsidP="0084686C">
      <w:pPr>
        <w:rPr>
          <w:rFonts w:asciiTheme="minorEastAsia" w:hAnsiTheme="minorEastAsia" w:hint="eastAsia"/>
          <w:sz w:val="24"/>
          <w:szCs w:val="24"/>
        </w:rPr>
      </w:pPr>
      <w:r w:rsidRPr="0084686C">
        <w:rPr>
          <w:rFonts w:asciiTheme="minorEastAsia" w:hAnsiTheme="minorEastAsia" w:hint="eastAsia"/>
          <w:sz w:val="24"/>
          <w:szCs w:val="24"/>
        </w:rPr>
        <w:t xml:space="preserve">　　（九）最高</w:t>
      </w:r>
      <w:proofErr w:type="gramStart"/>
      <w:r w:rsidRPr="0084686C">
        <w:rPr>
          <w:rFonts w:asciiTheme="minorEastAsia" w:hAnsiTheme="minorEastAsia" w:hint="eastAsia"/>
          <w:sz w:val="24"/>
          <w:szCs w:val="24"/>
        </w:rPr>
        <w:t>残留值</w:t>
      </w:r>
      <w:proofErr w:type="gramEnd"/>
      <w:r w:rsidRPr="0084686C">
        <w:rPr>
          <w:rFonts w:asciiTheme="minorEastAsia" w:hAnsiTheme="minorEastAsia" w:hint="eastAsia"/>
          <w:sz w:val="24"/>
          <w:szCs w:val="24"/>
        </w:rPr>
        <w:t xml:space="preserve"> Highest Residue（HR）：有效残留数据的最大值。</w:t>
      </w:r>
    </w:p>
    <w:p w:rsidR="0084686C" w:rsidRPr="0084686C" w:rsidRDefault="0084686C" w:rsidP="0084686C">
      <w:pPr>
        <w:rPr>
          <w:rFonts w:asciiTheme="minorEastAsia" w:hAnsiTheme="minorEastAsia" w:hint="eastAsia"/>
          <w:sz w:val="24"/>
          <w:szCs w:val="24"/>
        </w:rPr>
      </w:pPr>
      <w:r w:rsidRPr="0084686C">
        <w:rPr>
          <w:rFonts w:asciiTheme="minorEastAsia" w:hAnsiTheme="minorEastAsia" w:hint="eastAsia"/>
          <w:sz w:val="24"/>
          <w:szCs w:val="24"/>
        </w:rPr>
        <w:t xml:space="preserve">　　（十）国家估算每日摄入量 National Estimated Daily Intake (NEDI)：是对长期农药残留摄入的估计。它是基于每人每日平均食物消费量和规范残留试验中值计算的，包括食品加工过程中残留变化，其它来源的膳食摄入和有毒理学意义的转化产物。以毫克为单位。</w:t>
      </w:r>
    </w:p>
    <w:p w:rsidR="0084686C" w:rsidRPr="0084686C" w:rsidRDefault="0084686C" w:rsidP="0084686C">
      <w:pPr>
        <w:rPr>
          <w:rFonts w:asciiTheme="minorEastAsia" w:hAnsiTheme="minorEastAsia" w:hint="eastAsia"/>
          <w:sz w:val="24"/>
          <w:szCs w:val="24"/>
        </w:rPr>
      </w:pPr>
      <w:r w:rsidRPr="0084686C">
        <w:rPr>
          <w:rFonts w:asciiTheme="minorEastAsia" w:hAnsiTheme="minorEastAsia" w:hint="eastAsia"/>
          <w:sz w:val="24"/>
          <w:szCs w:val="24"/>
        </w:rPr>
        <w:t xml:space="preserve">　　（十一）国家估算短期摄入量 National Estimated Short Term Intake（NESTI）：是对短期农药残留摄入的估计。它是基于每人每日（餐）某种食物摄入量和规范残留试验的最高</w:t>
      </w:r>
      <w:proofErr w:type="gramStart"/>
      <w:r w:rsidRPr="0084686C">
        <w:rPr>
          <w:rFonts w:asciiTheme="minorEastAsia" w:hAnsiTheme="minorEastAsia" w:hint="eastAsia"/>
          <w:sz w:val="24"/>
          <w:szCs w:val="24"/>
        </w:rPr>
        <w:t>残留值</w:t>
      </w:r>
      <w:proofErr w:type="gramEnd"/>
      <w:r w:rsidRPr="0084686C">
        <w:rPr>
          <w:rFonts w:asciiTheme="minorEastAsia" w:hAnsiTheme="minorEastAsia" w:hint="eastAsia"/>
          <w:sz w:val="24"/>
          <w:szCs w:val="24"/>
        </w:rPr>
        <w:t>计算的，主要考虑食品可食部分的残留，包括其它来源的膳食摄入和有毒理学意义的转化产物，以每千克体重的毫克数为单位。</w:t>
      </w:r>
    </w:p>
    <w:p w:rsidR="0084686C" w:rsidRPr="0084686C" w:rsidRDefault="0084686C" w:rsidP="0084686C">
      <w:pPr>
        <w:rPr>
          <w:rFonts w:asciiTheme="minorEastAsia" w:hAnsiTheme="minorEastAsia"/>
          <w:sz w:val="24"/>
          <w:szCs w:val="24"/>
        </w:rPr>
      </w:pPr>
      <w:bookmarkStart w:id="0" w:name="_GoBack"/>
      <w:bookmarkEnd w:id="0"/>
      <w:r w:rsidRPr="0084686C">
        <w:rPr>
          <w:rFonts w:asciiTheme="minorEastAsia" w:hAnsiTheme="minorEastAsia" w:hint="eastAsia"/>
          <w:sz w:val="24"/>
          <w:szCs w:val="24"/>
        </w:rPr>
        <w:t xml:space="preserve">　　（十二）良好实验室规范Good Laboratory Practice （GLP）:是一种有关非临床人类健康和环境安全试验的设计、实施、查验、记录、归档及报告等的组织过程和条件的质量体系。</w:t>
      </w:r>
    </w:p>
    <w:sectPr w:rsidR="0084686C" w:rsidRPr="008468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ECA"/>
    <w:rsid w:val="000224CE"/>
    <w:rsid w:val="00542ECA"/>
    <w:rsid w:val="00767BE3"/>
    <w:rsid w:val="0084686C"/>
    <w:rsid w:val="00C67968"/>
    <w:rsid w:val="00D56D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84686C"/>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84686C"/>
    <w:rPr>
      <w:rFonts w:ascii="宋体" w:eastAsia="宋体" w:hAnsi="宋体" w:cs="宋体"/>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84686C"/>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84686C"/>
    <w:rPr>
      <w:rFonts w:ascii="宋体" w:eastAsia="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3310065">
      <w:bodyDiv w:val="1"/>
      <w:marLeft w:val="0"/>
      <w:marRight w:val="0"/>
      <w:marTop w:val="0"/>
      <w:marBottom w:val="0"/>
      <w:divBdr>
        <w:top w:val="none" w:sz="0" w:space="0" w:color="auto"/>
        <w:left w:val="none" w:sz="0" w:space="0" w:color="auto"/>
        <w:bottom w:val="none" w:sz="0" w:space="0" w:color="auto"/>
        <w:right w:val="none" w:sz="0" w:space="0" w:color="auto"/>
      </w:divBdr>
      <w:divsChild>
        <w:div w:id="1644583361">
          <w:marLeft w:val="0"/>
          <w:marRight w:val="0"/>
          <w:marTop w:val="0"/>
          <w:marBottom w:val="0"/>
          <w:divBdr>
            <w:top w:val="none" w:sz="0" w:space="0" w:color="auto"/>
            <w:left w:val="none" w:sz="0" w:space="0" w:color="auto"/>
            <w:bottom w:val="none" w:sz="0" w:space="0" w:color="auto"/>
            <w:right w:val="none" w:sz="0" w:space="0" w:color="auto"/>
          </w:divBdr>
        </w:div>
        <w:div w:id="1678536518">
          <w:marLeft w:val="0"/>
          <w:marRight w:val="0"/>
          <w:marTop w:val="0"/>
          <w:marBottom w:val="0"/>
          <w:divBdr>
            <w:top w:val="none" w:sz="0" w:space="0" w:color="auto"/>
            <w:left w:val="none" w:sz="0" w:space="0" w:color="auto"/>
            <w:bottom w:val="none" w:sz="0" w:space="0" w:color="auto"/>
            <w:right w:val="none" w:sz="0" w:space="0" w:color="auto"/>
          </w:divBdr>
        </w:div>
        <w:div w:id="119689169">
          <w:marLeft w:val="0"/>
          <w:marRight w:val="0"/>
          <w:marTop w:val="0"/>
          <w:marBottom w:val="0"/>
          <w:divBdr>
            <w:top w:val="none" w:sz="0" w:space="0" w:color="auto"/>
            <w:left w:val="none" w:sz="0" w:space="0" w:color="auto"/>
            <w:bottom w:val="none" w:sz="0" w:space="0" w:color="auto"/>
            <w:right w:val="none" w:sz="0" w:space="0" w:color="auto"/>
          </w:divBdr>
        </w:div>
        <w:div w:id="381289426">
          <w:marLeft w:val="0"/>
          <w:marRight w:val="0"/>
          <w:marTop w:val="0"/>
          <w:marBottom w:val="0"/>
          <w:divBdr>
            <w:top w:val="none" w:sz="0" w:space="0" w:color="auto"/>
            <w:left w:val="none" w:sz="0" w:space="0" w:color="auto"/>
            <w:bottom w:val="none" w:sz="0" w:space="0" w:color="auto"/>
            <w:right w:val="none" w:sz="0" w:space="0" w:color="auto"/>
          </w:divBdr>
        </w:div>
        <w:div w:id="479268195">
          <w:marLeft w:val="0"/>
          <w:marRight w:val="0"/>
          <w:marTop w:val="0"/>
          <w:marBottom w:val="0"/>
          <w:divBdr>
            <w:top w:val="none" w:sz="0" w:space="0" w:color="auto"/>
            <w:left w:val="none" w:sz="0" w:space="0" w:color="auto"/>
            <w:bottom w:val="none" w:sz="0" w:space="0" w:color="auto"/>
            <w:right w:val="none" w:sz="0" w:space="0" w:color="auto"/>
          </w:divBdr>
        </w:div>
        <w:div w:id="751701629">
          <w:marLeft w:val="0"/>
          <w:marRight w:val="0"/>
          <w:marTop w:val="0"/>
          <w:marBottom w:val="0"/>
          <w:divBdr>
            <w:top w:val="none" w:sz="0" w:space="0" w:color="auto"/>
            <w:left w:val="none" w:sz="0" w:space="0" w:color="auto"/>
            <w:bottom w:val="none" w:sz="0" w:space="0" w:color="auto"/>
            <w:right w:val="none" w:sz="0" w:space="0" w:color="auto"/>
          </w:divBdr>
        </w:div>
        <w:div w:id="1832716421">
          <w:marLeft w:val="0"/>
          <w:marRight w:val="0"/>
          <w:marTop w:val="0"/>
          <w:marBottom w:val="0"/>
          <w:divBdr>
            <w:top w:val="none" w:sz="0" w:space="0" w:color="auto"/>
            <w:left w:val="none" w:sz="0" w:space="0" w:color="auto"/>
            <w:bottom w:val="none" w:sz="0" w:space="0" w:color="auto"/>
            <w:right w:val="none" w:sz="0" w:space="0" w:color="auto"/>
          </w:divBdr>
        </w:div>
        <w:div w:id="1638955162">
          <w:marLeft w:val="0"/>
          <w:marRight w:val="0"/>
          <w:marTop w:val="0"/>
          <w:marBottom w:val="0"/>
          <w:divBdr>
            <w:top w:val="none" w:sz="0" w:space="0" w:color="auto"/>
            <w:left w:val="none" w:sz="0" w:space="0" w:color="auto"/>
            <w:bottom w:val="none" w:sz="0" w:space="0" w:color="auto"/>
            <w:right w:val="none" w:sz="0" w:space="0" w:color="auto"/>
          </w:divBdr>
        </w:div>
        <w:div w:id="1256128522">
          <w:marLeft w:val="0"/>
          <w:marRight w:val="0"/>
          <w:marTop w:val="0"/>
          <w:marBottom w:val="0"/>
          <w:divBdr>
            <w:top w:val="none" w:sz="0" w:space="0" w:color="auto"/>
            <w:left w:val="none" w:sz="0" w:space="0" w:color="auto"/>
            <w:bottom w:val="none" w:sz="0" w:space="0" w:color="auto"/>
            <w:right w:val="none" w:sz="0" w:space="0" w:color="auto"/>
          </w:divBdr>
        </w:div>
        <w:div w:id="27528886">
          <w:marLeft w:val="0"/>
          <w:marRight w:val="0"/>
          <w:marTop w:val="0"/>
          <w:marBottom w:val="0"/>
          <w:divBdr>
            <w:top w:val="none" w:sz="0" w:space="0" w:color="auto"/>
            <w:left w:val="none" w:sz="0" w:space="0" w:color="auto"/>
            <w:bottom w:val="none" w:sz="0" w:space="0" w:color="auto"/>
            <w:right w:val="none" w:sz="0" w:space="0" w:color="auto"/>
          </w:divBdr>
        </w:div>
        <w:div w:id="1970429659">
          <w:marLeft w:val="0"/>
          <w:marRight w:val="0"/>
          <w:marTop w:val="0"/>
          <w:marBottom w:val="0"/>
          <w:divBdr>
            <w:top w:val="none" w:sz="0" w:space="0" w:color="auto"/>
            <w:left w:val="none" w:sz="0" w:space="0" w:color="auto"/>
            <w:bottom w:val="none" w:sz="0" w:space="0" w:color="auto"/>
            <w:right w:val="none" w:sz="0" w:space="0" w:color="auto"/>
          </w:divBdr>
        </w:div>
        <w:div w:id="684402552">
          <w:marLeft w:val="0"/>
          <w:marRight w:val="0"/>
          <w:marTop w:val="0"/>
          <w:marBottom w:val="0"/>
          <w:divBdr>
            <w:top w:val="none" w:sz="0" w:space="0" w:color="auto"/>
            <w:left w:val="none" w:sz="0" w:space="0" w:color="auto"/>
            <w:bottom w:val="none" w:sz="0" w:space="0" w:color="auto"/>
            <w:right w:val="none" w:sz="0" w:space="0" w:color="auto"/>
          </w:divBdr>
        </w:div>
        <w:div w:id="1149830572">
          <w:marLeft w:val="0"/>
          <w:marRight w:val="0"/>
          <w:marTop w:val="0"/>
          <w:marBottom w:val="0"/>
          <w:divBdr>
            <w:top w:val="none" w:sz="0" w:space="0" w:color="auto"/>
            <w:left w:val="none" w:sz="0" w:space="0" w:color="auto"/>
            <w:bottom w:val="none" w:sz="0" w:space="0" w:color="auto"/>
            <w:right w:val="none" w:sz="0" w:space="0" w:color="auto"/>
          </w:divBdr>
        </w:div>
        <w:div w:id="537935081">
          <w:marLeft w:val="0"/>
          <w:marRight w:val="0"/>
          <w:marTop w:val="0"/>
          <w:marBottom w:val="0"/>
          <w:divBdr>
            <w:top w:val="none" w:sz="0" w:space="0" w:color="auto"/>
            <w:left w:val="none" w:sz="0" w:space="0" w:color="auto"/>
            <w:bottom w:val="none" w:sz="0" w:space="0" w:color="auto"/>
            <w:right w:val="none" w:sz="0" w:space="0" w:color="auto"/>
          </w:divBdr>
        </w:div>
        <w:div w:id="1102147752">
          <w:marLeft w:val="0"/>
          <w:marRight w:val="0"/>
          <w:marTop w:val="0"/>
          <w:marBottom w:val="0"/>
          <w:divBdr>
            <w:top w:val="none" w:sz="0" w:space="0" w:color="auto"/>
            <w:left w:val="none" w:sz="0" w:space="0" w:color="auto"/>
            <w:bottom w:val="none" w:sz="0" w:space="0" w:color="auto"/>
            <w:right w:val="none" w:sz="0" w:space="0" w:color="auto"/>
          </w:divBdr>
        </w:div>
        <w:div w:id="190460836">
          <w:marLeft w:val="0"/>
          <w:marRight w:val="0"/>
          <w:marTop w:val="0"/>
          <w:marBottom w:val="0"/>
          <w:divBdr>
            <w:top w:val="none" w:sz="0" w:space="0" w:color="auto"/>
            <w:left w:val="none" w:sz="0" w:space="0" w:color="auto"/>
            <w:bottom w:val="none" w:sz="0" w:space="0" w:color="auto"/>
            <w:right w:val="none" w:sz="0" w:space="0" w:color="auto"/>
          </w:divBdr>
        </w:div>
        <w:div w:id="564023795">
          <w:marLeft w:val="0"/>
          <w:marRight w:val="0"/>
          <w:marTop w:val="0"/>
          <w:marBottom w:val="0"/>
          <w:divBdr>
            <w:top w:val="none" w:sz="0" w:space="0" w:color="auto"/>
            <w:left w:val="none" w:sz="0" w:space="0" w:color="auto"/>
            <w:bottom w:val="none" w:sz="0" w:space="0" w:color="auto"/>
            <w:right w:val="none" w:sz="0" w:space="0" w:color="auto"/>
          </w:divBdr>
        </w:div>
        <w:div w:id="1885557131">
          <w:marLeft w:val="0"/>
          <w:marRight w:val="0"/>
          <w:marTop w:val="0"/>
          <w:marBottom w:val="0"/>
          <w:divBdr>
            <w:top w:val="none" w:sz="0" w:space="0" w:color="auto"/>
            <w:left w:val="none" w:sz="0" w:space="0" w:color="auto"/>
            <w:bottom w:val="none" w:sz="0" w:space="0" w:color="auto"/>
            <w:right w:val="none" w:sz="0" w:space="0" w:color="auto"/>
          </w:divBdr>
        </w:div>
        <w:div w:id="1954357421">
          <w:marLeft w:val="0"/>
          <w:marRight w:val="0"/>
          <w:marTop w:val="0"/>
          <w:marBottom w:val="0"/>
          <w:divBdr>
            <w:top w:val="none" w:sz="0" w:space="0" w:color="auto"/>
            <w:left w:val="none" w:sz="0" w:space="0" w:color="auto"/>
            <w:bottom w:val="none" w:sz="0" w:space="0" w:color="auto"/>
            <w:right w:val="none" w:sz="0" w:space="0" w:color="auto"/>
          </w:divBdr>
        </w:div>
        <w:div w:id="198445267">
          <w:marLeft w:val="0"/>
          <w:marRight w:val="0"/>
          <w:marTop w:val="0"/>
          <w:marBottom w:val="0"/>
          <w:divBdr>
            <w:top w:val="none" w:sz="0" w:space="0" w:color="auto"/>
            <w:left w:val="none" w:sz="0" w:space="0" w:color="auto"/>
            <w:bottom w:val="none" w:sz="0" w:space="0" w:color="auto"/>
            <w:right w:val="none" w:sz="0" w:space="0" w:color="auto"/>
          </w:divBdr>
        </w:div>
        <w:div w:id="234978602">
          <w:marLeft w:val="0"/>
          <w:marRight w:val="0"/>
          <w:marTop w:val="0"/>
          <w:marBottom w:val="0"/>
          <w:divBdr>
            <w:top w:val="none" w:sz="0" w:space="0" w:color="auto"/>
            <w:left w:val="none" w:sz="0" w:space="0" w:color="auto"/>
            <w:bottom w:val="none" w:sz="0" w:space="0" w:color="auto"/>
            <w:right w:val="none" w:sz="0" w:space="0" w:color="auto"/>
          </w:divBdr>
        </w:div>
        <w:div w:id="1722291735">
          <w:marLeft w:val="0"/>
          <w:marRight w:val="0"/>
          <w:marTop w:val="0"/>
          <w:marBottom w:val="0"/>
          <w:divBdr>
            <w:top w:val="none" w:sz="0" w:space="0" w:color="auto"/>
            <w:left w:val="none" w:sz="0" w:space="0" w:color="auto"/>
            <w:bottom w:val="none" w:sz="0" w:space="0" w:color="auto"/>
            <w:right w:val="none" w:sz="0" w:space="0" w:color="auto"/>
          </w:divBdr>
        </w:div>
        <w:div w:id="4332052">
          <w:marLeft w:val="0"/>
          <w:marRight w:val="0"/>
          <w:marTop w:val="0"/>
          <w:marBottom w:val="0"/>
          <w:divBdr>
            <w:top w:val="none" w:sz="0" w:space="0" w:color="auto"/>
            <w:left w:val="none" w:sz="0" w:space="0" w:color="auto"/>
            <w:bottom w:val="none" w:sz="0" w:space="0" w:color="auto"/>
            <w:right w:val="none" w:sz="0" w:space="0" w:color="auto"/>
          </w:divBdr>
        </w:div>
        <w:div w:id="53093360">
          <w:marLeft w:val="0"/>
          <w:marRight w:val="0"/>
          <w:marTop w:val="0"/>
          <w:marBottom w:val="0"/>
          <w:divBdr>
            <w:top w:val="none" w:sz="0" w:space="0" w:color="auto"/>
            <w:left w:val="none" w:sz="0" w:space="0" w:color="auto"/>
            <w:bottom w:val="none" w:sz="0" w:space="0" w:color="auto"/>
            <w:right w:val="none" w:sz="0" w:space="0" w:color="auto"/>
          </w:divBdr>
        </w:div>
        <w:div w:id="1269309617">
          <w:marLeft w:val="0"/>
          <w:marRight w:val="0"/>
          <w:marTop w:val="0"/>
          <w:marBottom w:val="0"/>
          <w:divBdr>
            <w:top w:val="none" w:sz="0" w:space="0" w:color="auto"/>
            <w:left w:val="none" w:sz="0" w:space="0" w:color="auto"/>
            <w:bottom w:val="none" w:sz="0" w:space="0" w:color="auto"/>
            <w:right w:val="none" w:sz="0" w:space="0" w:color="auto"/>
          </w:divBdr>
        </w:div>
        <w:div w:id="1219051648">
          <w:marLeft w:val="0"/>
          <w:marRight w:val="0"/>
          <w:marTop w:val="0"/>
          <w:marBottom w:val="0"/>
          <w:divBdr>
            <w:top w:val="none" w:sz="0" w:space="0" w:color="auto"/>
            <w:left w:val="none" w:sz="0" w:space="0" w:color="auto"/>
            <w:bottom w:val="none" w:sz="0" w:space="0" w:color="auto"/>
            <w:right w:val="none" w:sz="0" w:space="0" w:color="auto"/>
          </w:divBdr>
        </w:div>
        <w:div w:id="246157843">
          <w:marLeft w:val="0"/>
          <w:marRight w:val="0"/>
          <w:marTop w:val="0"/>
          <w:marBottom w:val="0"/>
          <w:divBdr>
            <w:top w:val="none" w:sz="0" w:space="0" w:color="auto"/>
            <w:left w:val="none" w:sz="0" w:space="0" w:color="auto"/>
            <w:bottom w:val="none" w:sz="0" w:space="0" w:color="auto"/>
            <w:right w:val="none" w:sz="0" w:space="0" w:color="auto"/>
          </w:divBdr>
        </w:div>
        <w:div w:id="55125469">
          <w:marLeft w:val="0"/>
          <w:marRight w:val="0"/>
          <w:marTop w:val="0"/>
          <w:marBottom w:val="0"/>
          <w:divBdr>
            <w:top w:val="none" w:sz="0" w:space="0" w:color="auto"/>
            <w:left w:val="none" w:sz="0" w:space="0" w:color="auto"/>
            <w:bottom w:val="none" w:sz="0" w:space="0" w:color="auto"/>
            <w:right w:val="none" w:sz="0" w:space="0" w:color="auto"/>
          </w:divBdr>
        </w:div>
        <w:div w:id="537206489">
          <w:marLeft w:val="0"/>
          <w:marRight w:val="0"/>
          <w:marTop w:val="0"/>
          <w:marBottom w:val="0"/>
          <w:divBdr>
            <w:top w:val="none" w:sz="0" w:space="0" w:color="auto"/>
            <w:left w:val="none" w:sz="0" w:space="0" w:color="auto"/>
            <w:bottom w:val="none" w:sz="0" w:space="0" w:color="auto"/>
            <w:right w:val="none" w:sz="0" w:space="0" w:color="auto"/>
          </w:divBdr>
        </w:div>
        <w:div w:id="1884175422">
          <w:marLeft w:val="0"/>
          <w:marRight w:val="0"/>
          <w:marTop w:val="0"/>
          <w:marBottom w:val="0"/>
          <w:divBdr>
            <w:top w:val="none" w:sz="0" w:space="0" w:color="auto"/>
            <w:left w:val="none" w:sz="0" w:space="0" w:color="auto"/>
            <w:bottom w:val="none" w:sz="0" w:space="0" w:color="auto"/>
            <w:right w:val="none" w:sz="0" w:space="0" w:color="auto"/>
          </w:divBdr>
        </w:div>
        <w:div w:id="811140741">
          <w:marLeft w:val="0"/>
          <w:marRight w:val="0"/>
          <w:marTop w:val="0"/>
          <w:marBottom w:val="0"/>
          <w:divBdr>
            <w:top w:val="none" w:sz="0" w:space="0" w:color="auto"/>
            <w:left w:val="none" w:sz="0" w:space="0" w:color="auto"/>
            <w:bottom w:val="none" w:sz="0" w:space="0" w:color="auto"/>
            <w:right w:val="none" w:sz="0" w:space="0" w:color="auto"/>
          </w:divBdr>
        </w:div>
        <w:div w:id="545722885">
          <w:marLeft w:val="0"/>
          <w:marRight w:val="0"/>
          <w:marTop w:val="0"/>
          <w:marBottom w:val="0"/>
          <w:divBdr>
            <w:top w:val="none" w:sz="0" w:space="0" w:color="auto"/>
            <w:left w:val="none" w:sz="0" w:space="0" w:color="auto"/>
            <w:bottom w:val="none" w:sz="0" w:space="0" w:color="auto"/>
            <w:right w:val="none" w:sz="0" w:space="0" w:color="auto"/>
          </w:divBdr>
        </w:div>
        <w:div w:id="1371149818">
          <w:marLeft w:val="0"/>
          <w:marRight w:val="0"/>
          <w:marTop w:val="0"/>
          <w:marBottom w:val="0"/>
          <w:divBdr>
            <w:top w:val="none" w:sz="0" w:space="0" w:color="auto"/>
            <w:left w:val="none" w:sz="0" w:space="0" w:color="auto"/>
            <w:bottom w:val="none" w:sz="0" w:space="0" w:color="auto"/>
            <w:right w:val="none" w:sz="0" w:space="0" w:color="auto"/>
          </w:divBdr>
        </w:div>
        <w:div w:id="791902611">
          <w:marLeft w:val="0"/>
          <w:marRight w:val="0"/>
          <w:marTop w:val="0"/>
          <w:marBottom w:val="0"/>
          <w:divBdr>
            <w:top w:val="none" w:sz="0" w:space="0" w:color="auto"/>
            <w:left w:val="none" w:sz="0" w:space="0" w:color="auto"/>
            <w:bottom w:val="none" w:sz="0" w:space="0" w:color="auto"/>
            <w:right w:val="none" w:sz="0" w:space="0" w:color="auto"/>
          </w:divBdr>
        </w:div>
        <w:div w:id="421798058">
          <w:marLeft w:val="0"/>
          <w:marRight w:val="0"/>
          <w:marTop w:val="0"/>
          <w:marBottom w:val="0"/>
          <w:divBdr>
            <w:top w:val="none" w:sz="0" w:space="0" w:color="auto"/>
            <w:left w:val="none" w:sz="0" w:space="0" w:color="auto"/>
            <w:bottom w:val="none" w:sz="0" w:space="0" w:color="auto"/>
            <w:right w:val="none" w:sz="0" w:space="0" w:color="auto"/>
          </w:divBdr>
        </w:div>
        <w:div w:id="862937975">
          <w:marLeft w:val="0"/>
          <w:marRight w:val="0"/>
          <w:marTop w:val="0"/>
          <w:marBottom w:val="0"/>
          <w:divBdr>
            <w:top w:val="none" w:sz="0" w:space="0" w:color="auto"/>
            <w:left w:val="none" w:sz="0" w:space="0" w:color="auto"/>
            <w:bottom w:val="none" w:sz="0" w:space="0" w:color="auto"/>
            <w:right w:val="none" w:sz="0" w:space="0" w:color="auto"/>
          </w:divBdr>
        </w:div>
        <w:div w:id="1983344729">
          <w:marLeft w:val="0"/>
          <w:marRight w:val="0"/>
          <w:marTop w:val="0"/>
          <w:marBottom w:val="0"/>
          <w:divBdr>
            <w:top w:val="none" w:sz="0" w:space="0" w:color="auto"/>
            <w:left w:val="none" w:sz="0" w:space="0" w:color="auto"/>
            <w:bottom w:val="none" w:sz="0" w:space="0" w:color="auto"/>
            <w:right w:val="none" w:sz="0" w:space="0" w:color="auto"/>
          </w:divBdr>
        </w:div>
        <w:div w:id="514420618">
          <w:marLeft w:val="0"/>
          <w:marRight w:val="0"/>
          <w:marTop w:val="0"/>
          <w:marBottom w:val="0"/>
          <w:divBdr>
            <w:top w:val="none" w:sz="0" w:space="0" w:color="auto"/>
            <w:left w:val="none" w:sz="0" w:space="0" w:color="auto"/>
            <w:bottom w:val="none" w:sz="0" w:space="0" w:color="auto"/>
            <w:right w:val="none" w:sz="0" w:space="0" w:color="auto"/>
          </w:divBdr>
        </w:div>
        <w:div w:id="738556229">
          <w:marLeft w:val="0"/>
          <w:marRight w:val="0"/>
          <w:marTop w:val="0"/>
          <w:marBottom w:val="0"/>
          <w:divBdr>
            <w:top w:val="none" w:sz="0" w:space="0" w:color="auto"/>
            <w:left w:val="none" w:sz="0" w:space="0" w:color="auto"/>
            <w:bottom w:val="none" w:sz="0" w:space="0" w:color="auto"/>
            <w:right w:val="none" w:sz="0" w:space="0" w:color="auto"/>
          </w:divBdr>
        </w:div>
        <w:div w:id="1733231521">
          <w:marLeft w:val="0"/>
          <w:marRight w:val="0"/>
          <w:marTop w:val="0"/>
          <w:marBottom w:val="0"/>
          <w:divBdr>
            <w:top w:val="none" w:sz="0" w:space="0" w:color="auto"/>
            <w:left w:val="none" w:sz="0" w:space="0" w:color="auto"/>
            <w:bottom w:val="none" w:sz="0" w:space="0" w:color="auto"/>
            <w:right w:val="none" w:sz="0" w:space="0" w:color="auto"/>
          </w:divBdr>
        </w:div>
        <w:div w:id="847333585">
          <w:marLeft w:val="0"/>
          <w:marRight w:val="0"/>
          <w:marTop w:val="0"/>
          <w:marBottom w:val="0"/>
          <w:divBdr>
            <w:top w:val="none" w:sz="0" w:space="0" w:color="auto"/>
            <w:left w:val="none" w:sz="0" w:space="0" w:color="auto"/>
            <w:bottom w:val="none" w:sz="0" w:space="0" w:color="auto"/>
            <w:right w:val="none" w:sz="0" w:space="0" w:color="auto"/>
          </w:divBdr>
        </w:div>
        <w:div w:id="361782344">
          <w:marLeft w:val="0"/>
          <w:marRight w:val="0"/>
          <w:marTop w:val="0"/>
          <w:marBottom w:val="0"/>
          <w:divBdr>
            <w:top w:val="none" w:sz="0" w:space="0" w:color="auto"/>
            <w:left w:val="none" w:sz="0" w:space="0" w:color="auto"/>
            <w:bottom w:val="none" w:sz="0" w:space="0" w:color="auto"/>
            <w:right w:val="none" w:sz="0" w:space="0" w:color="auto"/>
          </w:divBdr>
        </w:div>
        <w:div w:id="1717850475">
          <w:marLeft w:val="0"/>
          <w:marRight w:val="0"/>
          <w:marTop w:val="0"/>
          <w:marBottom w:val="0"/>
          <w:divBdr>
            <w:top w:val="none" w:sz="0" w:space="0" w:color="auto"/>
            <w:left w:val="none" w:sz="0" w:space="0" w:color="auto"/>
            <w:bottom w:val="none" w:sz="0" w:space="0" w:color="auto"/>
            <w:right w:val="none" w:sz="0" w:space="0" w:color="auto"/>
          </w:divBdr>
        </w:div>
        <w:div w:id="80491972">
          <w:marLeft w:val="0"/>
          <w:marRight w:val="0"/>
          <w:marTop w:val="0"/>
          <w:marBottom w:val="0"/>
          <w:divBdr>
            <w:top w:val="none" w:sz="0" w:space="0" w:color="auto"/>
            <w:left w:val="none" w:sz="0" w:space="0" w:color="auto"/>
            <w:bottom w:val="none" w:sz="0" w:space="0" w:color="auto"/>
            <w:right w:val="none" w:sz="0" w:space="0" w:color="auto"/>
          </w:divBdr>
        </w:div>
        <w:div w:id="1026444114">
          <w:marLeft w:val="0"/>
          <w:marRight w:val="0"/>
          <w:marTop w:val="0"/>
          <w:marBottom w:val="0"/>
          <w:divBdr>
            <w:top w:val="none" w:sz="0" w:space="0" w:color="auto"/>
            <w:left w:val="none" w:sz="0" w:space="0" w:color="auto"/>
            <w:bottom w:val="none" w:sz="0" w:space="0" w:color="auto"/>
            <w:right w:val="none" w:sz="0" w:space="0" w:color="auto"/>
          </w:divBdr>
        </w:div>
        <w:div w:id="451559414">
          <w:marLeft w:val="0"/>
          <w:marRight w:val="0"/>
          <w:marTop w:val="0"/>
          <w:marBottom w:val="0"/>
          <w:divBdr>
            <w:top w:val="none" w:sz="0" w:space="0" w:color="auto"/>
            <w:left w:val="none" w:sz="0" w:space="0" w:color="auto"/>
            <w:bottom w:val="none" w:sz="0" w:space="0" w:color="auto"/>
            <w:right w:val="none" w:sz="0" w:space="0" w:color="auto"/>
          </w:divBdr>
        </w:div>
        <w:div w:id="1766537656">
          <w:marLeft w:val="0"/>
          <w:marRight w:val="0"/>
          <w:marTop w:val="0"/>
          <w:marBottom w:val="0"/>
          <w:divBdr>
            <w:top w:val="none" w:sz="0" w:space="0" w:color="auto"/>
            <w:left w:val="none" w:sz="0" w:space="0" w:color="auto"/>
            <w:bottom w:val="none" w:sz="0" w:space="0" w:color="auto"/>
            <w:right w:val="none" w:sz="0" w:space="0" w:color="auto"/>
          </w:divBdr>
        </w:div>
        <w:div w:id="1841894249">
          <w:marLeft w:val="0"/>
          <w:marRight w:val="0"/>
          <w:marTop w:val="0"/>
          <w:marBottom w:val="0"/>
          <w:divBdr>
            <w:top w:val="none" w:sz="0" w:space="0" w:color="auto"/>
            <w:left w:val="none" w:sz="0" w:space="0" w:color="auto"/>
            <w:bottom w:val="none" w:sz="0" w:space="0" w:color="auto"/>
            <w:right w:val="none" w:sz="0" w:space="0" w:color="auto"/>
          </w:divBdr>
        </w:div>
        <w:div w:id="733428894">
          <w:marLeft w:val="0"/>
          <w:marRight w:val="0"/>
          <w:marTop w:val="0"/>
          <w:marBottom w:val="0"/>
          <w:divBdr>
            <w:top w:val="none" w:sz="0" w:space="0" w:color="auto"/>
            <w:left w:val="none" w:sz="0" w:space="0" w:color="auto"/>
            <w:bottom w:val="none" w:sz="0" w:space="0" w:color="auto"/>
            <w:right w:val="none" w:sz="0" w:space="0" w:color="auto"/>
          </w:divBdr>
        </w:div>
        <w:div w:id="216355778">
          <w:marLeft w:val="0"/>
          <w:marRight w:val="0"/>
          <w:marTop w:val="0"/>
          <w:marBottom w:val="0"/>
          <w:divBdr>
            <w:top w:val="none" w:sz="0" w:space="0" w:color="auto"/>
            <w:left w:val="none" w:sz="0" w:space="0" w:color="auto"/>
            <w:bottom w:val="none" w:sz="0" w:space="0" w:color="auto"/>
            <w:right w:val="none" w:sz="0" w:space="0" w:color="auto"/>
          </w:divBdr>
        </w:div>
        <w:div w:id="1688173947">
          <w:marLeft w:val="0"/>
          <w:marRight w:val="0"/>
          <w:marTop w:val="0"/>
          <w:marBottom w:val="0"/>
          <w:divBdr>
            <w:top w:val="none" w:sz="0" w:space="0" w:color="auto"/>
            <w:left w:val="none" w:sz="0" w:space="0" w:color="auto"/>
            <w:bottom w:val="none" w:sz="0" w:space="0" w:color="auto"/>
            <w:right w:val="none" w:sz="0" w:space="0" w:color="auto"/>
          </w:divBdr>
        </w:div>
        <w:div w:id="338972831">
          <w:marLeft w:val="0"/>
          <w:marRight w:val="0"/>
          <w:marTop w:val="0"/>
          <w:marBottom w:val="0"/>
          <w:divBdr>
            <w:top w:val="none" w:sz="0" w:space="0" w:color="auto"/>
            <w:left w:val="none" w:sz="0" w:space="0" w:color="auto"/>
            <w:bottom w:val="none" w:sz="0" w:space="0" w:color="auto"/>
            <w:right w:val="none" w:sz="0" w:space="0" w:color="auto"/>
          </w:divBdr>
        </w:div>
        <w:div w:id="169952272">
          <w:marLeft w:val="0"/>
          <w:marRight w:val="0"/>
          <w:marTop w:val="0"/>
          <w:marBottom w:val="0"/>
          <w:divBdr>
            <w:top w:val="none" w:sz="0" w:space="0" w:color="auto"/>
            <w:left w:val="none" w:sz="0" w:space="0" w:color="auto"/>
            <w:bottom w:val="none" w:sz="0" w:space="0" w:color="auto"/>
            <w:right w:val="none" w:sz="0" w:space="0" w:color="auto"/>
          </w:divBdr>
        </w:div>
        <w:div w:id="1101529371">
          <w:marLeft w:val="0"/>
          <w:marRight w:val="0"/>
          <w:marTop w:val="0"/>
          <w:marBottom w:val="0"/>
          <w:divBdr>
            <w:top w:val="none" w:sz="0" w:space="0" w:color="auto"/>
            <w:left w:val="none" w:sz="0" w:space="0" w:color="auto"/>
            <w:bottom w:val="none" w:sz="0" w:space="0" w:color="auto"/>
            <w:right w:val="none" w:sz="0" w:space="0" w:color="auto"/>
          </w:divBdr>
        </w:div>
        <w:div w:id="1789006392">
          <w:marLeft w:val="0"/>
          <w:marRight w:val="0"/>
          <w:marTop w:val="0"/>
          <w:marBottom w:val="0"/>
          <w:divBdr>
            <w:top w:val="none" w:sz="0" w:space="0" w:color="auto"/>
            <w:left w:val="none" w:sz="0" w:space="0" w:color="auto"/>
            <w:bottom w:val="none" w:sz="0" w:space="0" w:color="auto"/>
            <w:right w:val="none" w:sz="0" w:space="0" w:color="auto"/>
          </w:divBdr>
        </w:div>
        <w:div w:id="1907254626">
          <w:marLeft w:val="0"/>
          <w:marRight w:val="0"/>
          <w:marTop w:val="0"/>
          <w:marBottom w:val="0"/>
          <w:divBdr>
            <w:top w:val="none" w:sz="0" w:space="0" w:color="auto"/>
            <w:left w:val="none" w:sz="0" w:space="0" w:color="auto"/>
            <w:bottom w:val="none" w:sz="0" w:space="0" w:color="auto"/>
            <w:right w:val="none" w:sz="0" w:space="0" w:color="auto"/>
          </w:divBdr>
        </w:div>
        <w:div w:id="78525065">
          <w:marLeft w:val="0"/>
          <w:marRight w:val="0"/>
          <w:marTop w:val="0"/>
          <w:marBottom w:val="0"/>
          <w:divBdr>
            <w:top w:val="none" w:sz="0" w:space="0" w:color="auto"/>
            <w:left w:val="none" w:sz="0" w:space="0" w:color="auto"/>
            <w:bottom w:val="none" w:sz="0" w:space="0" w:color="auto"/>
            <w:right w:val="none" w:sz="0" w:space="0" w:color="auto"/>
          </w:divBdr>
        </w:div>
        <w:div w:id="1195845186">
          <w:marLeft w:val="0"/>
          <w:marRight w:val="0"/>
          <w:marTop w:val="0"/>
          <w:marBottom w:val="0"/>
          <w:divBdr>
            <w:top w:val="none" w:sz="0" w:space="0" w:color="auto"/>
            <w:left w:val="none" w:sz="0" w:space="0" w:color="auto"/>
            <w:bottom w:val="none" w:sz="0" w:space="0" w:color="auto"/>
            <w:right w:val="none" w:sz="0" w:space="0" w:color="auto"/>
          </w:divBdr>
        </w:div>
        <w:div w:id="1306349931">
          <w:marLeft w:val="0"/>
          <w:marRight w:val="0"/>
          <w:marTop w:val="0"/>
          <w:marBottom w:val="0"/>
          <w:divBdr>
            <w:top w:val="none" w:sz="0" w:space="0" w:color="auto"/>
            <w:left w:val="none" w:sz="0" w:space="0" w:color="auto"/>
            <w:bottom w:val="none" w:sz="0" w:space="0" w:color="auto"/>
            <w:right w:val="none" w:sz="0" w:space="0" w:color="auto"/>
          </w:divBdr>
        </w:div>
        <w:div w:id="349184104">
          <w:marLeft w:val="0"/>
          <w:marRight w:val="0"/>
          <w:marTop w:val="0"/>
          <w:marBottom w:val="0"/>
          <w:divBdr>
            <w:top w:val="none" w:sz="0" w:space="0" w:color="auto"/>
            <w:left w:val="none" w:sz="0" w:space="0" w:color="auto"/>
            <w:bottom w:val="none" w:sz="0" w:space="0" w:color="auto"/>
            <w:right w:val="none" w:sz="0" w:space="0" w:color="auto"/>
          </w:divBdr>
        </w:div>
        <w:div w:id="1060784653">
          <w:marLeft w:val="0"/>
          <w:marRight w:val="0"/>
          <w:marTop w:val="0"/>
          <w:marBottom w:val="0"/>
          <w:divBdr>
            <w:top w:val="none" w:sz="0" w:space="0" w:color="auto"/>
            <w:left w:val="none" w:sz="0" w:space="0" w:color="auto"/>
            <w:bottom w:val="none" w:sz="0" w:space="0" w:color="auto"/>
            <w:right w:val="none" w:sz="0" w:space="0" w:color="auto"/>
          </w:divBdr>
        </w:div>
        <w:div w:id="2011715609">
          <w:marLeft w:val="0"/>
          <w:marRight w:val="0"/>
          <w:marTop w:val="0"/>
          <w:marBottom w:val="0"/>
          <w:divBdr>
            <w:top w:val="none" w:sz="0" w:space="0" w:color="auto"/>
            <w:left w:val="none" w:sz="0" w:space="0" w:color="auto"/>
            <w:bottom w:val="none" w:sz="0" w:space="0" w:color="auto"/>
            <w:right w:val="none" w:sz="0" w:space="0" w:color="auto"/>
          </w:divBdr>
        </w:div>
        <w:div w:id="1256816554">
          <w:marLeft w:val="0"/>
          <w:marRight w:val="0"/>
          <w:marTop w:val="0"/>
          <w:marBottom w:val="0"/>
          <w:divBdr>
            <w:top w:val="none" w:sz="0" w:space="0" w:color="auto"/>
            <w:left w:val="none" w:sz="0" w:space="0" w:color="auto"/>
            <w:bottom w:val="none" w:sz="0" w:space="0" w:color="auto"/>
            <w:right w:val="none" w:sz="0" w:space="0" w:color="auto"/>
          </w:divBdr>
        </w:div>
        <w:div w:id="1032724394">
          <w:marLeft w:val="0"/>
          <w:marRight w:val="0"/>
          <w:marTop w:val="0"/>
          <w:marBottom w:val="0"/>
          <w:divBdr>
            <w:top w:val="none" w:sz="0" w:space="0" w:color="auto"/>
            <w:left w:val="none" w:sz="0" w:space="0" w:color="auto"/>
            <w:bottom w:val="none" w:sz="0" w:space="0" w:color="auto"/>
            <w:right w:val="none" w:sz="0" w:space="0" w:color="auto"/>
          </w:divBdr>
        </w:div>
        <w:div w:id="1327054854">
          <w:marLeft w:val="0"/>
          <w:marRight w:val="0"/>
          <w:marTop w:val="0"/>
          <w:marBottom w:val="0"/>
          <w:divBdr>
            <w:top w:val="none" w:sz="0" w:space="0" w:color="auto"/>
            <w:left w:val="none" w:sz="0" w:space="0" w:color="auto"/>
            <w:bottom w:val="none" w:sz="0" w:space="0" w:color="auto"/>
            <w:right w:val="none" w:sz="0" w:space="0" w:color="auto"/>
          </w:divBdr>
        </w:div>
        <w:div w:id="1363240762">
          <w:marLeft w:val="0"/>
          <w:marRight w:val="0"/>
          <w:marTop w:val="0"/>
          <w:marBottom w:val="0"/>
          <w:divBdr>
            <w:top w:val="none" w:sz="0" w:space="0" w:color="auto"/>
            <w:left w:val="none" w:sz="0" w:space="0" w:color="auto"/>
            <w:bottom w:val="none" w:sz="0" w:space="0" w:color="auto"/>
            <w:right w:val="none" w:sz="0" w:space="0" w:color="auto"/>
          </w:divBdr>
        </w:div>
        <w:div w:id="889418703">
          <w:marLeft w:val="0"/>
          <w:marRight w:val="0"/>
          <w:marTop w:val="0"/>
          <w:marBottom w:val="0"/>
          <w:divBdr>
            <w:top w:val="none" w:sz="0" w:space="0" w:color="auto"/>
            <w:left w:val="none" w:sz="0" w:space="0" w:color="auto"/>
            <w:bottom w:val="none" w:sz="0" w:space="0" w:color="auto"/>
            <w:right w:val="none" w:sz="0" w:space="0" w:color="auto"/>
          </w:divBdr>
        </w:div>
        <w:div w:id="2134785267">
          <w:marLeft w:val="0"/>
          <w:marRight w:val="0"/>
          <w:marTop w:val="0"/>
          <w:marBottom w:val="0"/>
          <w:divBdr>
            <w:top w:val="none" w:sz="0" w:space="0" w:color="auto"/>
            <w:left w:val="none" w:sz="0" w:space="0" w:color="auto"/>
            <w:bottom w:val="none" w:sz="0" w:space="0" w:color="auto"/>
            <w:right w:val="none" w:sz="0" w:space="0" w:color="auto"/>
          </w:divBdr>
        </w:div>
        <w:div w:id="1086608795">
          <w:marLeft w:val="0"/>
          <w:marRight w:val="0"/>
          <w:marTop w:val="0"/>
          <w:marBottom w:val="0"/>
          <w:divBdr>
            <w:top w:val="none" w:sz="0" w:space="0" w:color="auto"/>
            <w:left w:val="none" w:sz="0" w:space="0" w:color="auto"/>
            <w:bottom w:val="none" w:sz="0" w:space="0" w:color="auto"/>
            <w:right w:val="none" w:sz="0" w:space="0" w:color="auto"/>
          </w:divBdr>
        </w:div>
        <w:div w:id="1299646251">
          <w:marLeft w:val="0"/>
          <w:marRight w:val="0"/>
          <w:marTop w:val="0"/>
          <w:marBottom w:val="0"/>
          <w:divBdr>
            <w:top w:val="none" w:sz="0" w:space="0" w:color="auto"/>
            <w:left w:val="none" w:sz="0" w:space="0" w:color="auto"/>
            <w:bottom w:val="none" w:sz="0" w:space="0" w:color="auto"/>
            <w:right w:val="none" w:sz="0" w:space="0" w:color="auto"/>
          </w:divBdr>
        </w:div>
        <w:div w:id="240068394">
          <w:marLeft w:val="0"/>
          <w:marRight w:val="0"/>
          <w:marTop w:val="0"/>
          <w:marBottom w:val="0"/>
          <w:divBdr>
            <w:top w:val="none" w:sz="0" w:space="0" w:color="auto"/>
            <w:left w:val="none" w:sz="0" w:space="0" w:color="auto"/>
            <w:bottom w:val="none" w:sz="0" w:space="0" w:color="auto"/>
            <w:right w:val="none" w:sz="0" w:space="0" w:color="auto"/>
          </w:divBdr>
        </w:div>
        <w:div w:id="232663428">
          <w:marLeft w:val="0"/>
          <w:marRight w:val="0"/>
          <w:marTop w:val="0"/>
          <w:marBottom w:val="0"/>
          <w:divBdr>
            <w:top w:val="none" w:sz="0" w:space="0" w:color="auto"/>
            <w:left w:val="none" w:sz="0" w:space="0" w:color="auto"/>
            <w:bottom w:val="none" w:sz="0" w:space="0" w:color="auto"/>
            <w:right w:val="none" w:sz="0" w:space="0" w:color="auto"/>
          </w:divBdr>
        </w:div>
        <w:div w:id="1020199569">
          <w:marLeft w:val="0"/>
          <w:marRight w:val="0"/>
          <w:marTop w:val="0"/>
          <w:marBottom w:val="0"/>
          <w:divBdr>
            <w:top w:val="none" w:sz="0" w:space="0" w:color="auto"/>
            <w:left w:val="none" w:sz="0" w:space="0" w:color="auto"/>
            <w:bottom w:val="none" w:sz="0" w:space="0" w:color="auto"/>
            <w:right w:val="none" w:sz="0" w:space="0" w:color="auto"/>
          </w:divBdr>
        </w:div>
        <w:div w:id="1968126048">
          <w:marLeft w:val="0"/>
          <w:marRight w:val="0"/>
          <w:marTop w:val="0"/>
          <w:marBottom w:val="0"/>
          <w:divBdr>
            <w:top w:val="none" w:sz="0" w:space="0" w:color="auto"/>
            <w:left w:val="none" w:sz="0" w:space="0" w:color="auto"/>
            <w:bottom w:val="none" w:sz="0" w:space="0" w:color="auto"/>
            <w:right w:val="none" w:sz="0" w:space="0" w:color="auto"/>
          </w:divBdr>
        </w:div>
        <w:div w:id="1529493136">
          <w:marLeft w:val="0"/>
          <w:marRight w:val="0"/>
          <w:marTop w:val="0"/>
          <w:marBottom w:val="0"/>
          <w:divBdr>
            <w:top w:val="none" w:sz="0" w:space="0" w:color="auto"/>
            <w:left w:val="none" w:sz="0" w:space="0" w:color="auto"/>
            <w:bottom w:val="none" w:sz="0" w:space="0" w:color="auto"/>
            <w:right w:val="none" w:sz="0" w:space="0" w:color="auto"/>
          </w:divBdr>
        </w:div>
        <w:div w:id="1534267421">
          <w:marLeft w:val="0"/>
          <w:marRight w:val="0"/>
          <w:marTop w:val="0"/>
          <w:marBottom w:val="0"/>
          <w:divBdr>
            <w:top w:val="none" w:sz="0" w:space="0" w:color="auto"/>
            <w:left w:val="none" w:sz="0" w:space="0" w:color="auto"/>
            <w:bottom w:val="none" w:sz="0" w:space="0" w:color="auto"/>
            <w:right w:val="none" w:sz="0" w:space="0" w:color="auto"/>
          </w:divBdr>
        </w:div>
        <w:div w:id="986739901">
          <w:marLeft w:val="0"/>
          <w:marRight w:val="0"/>
          <w:marTop w:val="0"/>
          <w:marBottom w:val="0"/>
          <w:divBdr>
            <w:top w:val="none" w:sz="0" w:space="0" w:color="auto"/>
            <w:left w:val="none" w:sz="0" w:space="0" w:color="auto"/>
            <w:bottom w:val="none" w:sz="0" w:space="0" w:color="auto"/>
            <w:right w:val="none" w:sz="0" w:space="0" w:color="auto"/>
          </w:divBdr>
        </w:div>
        <w:div w:id="736630528">
          <w:marLeft w:val="0"/>
          <w:marRight w:val="0"/>
          <w:marTop w:val="0"/>
          <w:marBottom w:val="0"/>
          <w:divBdr>
            <w:top w:val="none" w:sz="0" w:space="0" w:color="auto"/>
            <w:left w:val="none" w:sz="0" w:space="0" w:color="auto"/>
            <w:bottom w:val="none" w:sz="0" w:space="0" w:color="auto"/>
            <w:right w:val="none" w:sz="0" w:space="0" w:color="auto"/>
          </w:divBdr>
        </w:div>
        <w:div w:id="1645113042">
          <w:marLeft w:val="0"/>
          <w:marRight w:val="0"/>
          <w:marTop w:val="0"/>
          <w:marBottom w:val="0"/>
          <w:divBdr>
            <w:top w:val="none" w:sz="0" w:space="0" w:color="auto"/>
            <w:left w:val="none" w:sz="0" w:space="0" w:color="auto"/>
            <w:bottom w:val="none" w:sz="0" w:space="0" w:color="auto"/>
            <w:right w:val="none" w:sz="0" w:space="0" w:color="auto"/>
          </w:divBdr>
        </w:div>
        <w:div w:id="245116277">
          <w:marLeft w:val="0"/>
          <w:marRight w:val="0"/>
          <w:marTop w:val="0"/>
          <w:marBottom w:val="0"/>
          <w:divBdr>
            <w:top w:val="none" w:sz="0" w:space="0" w:color="auto"/>
            <w:left w:val="none" w:sz="0" w:space="0" w:color="auto"/>
            <w:bottom w:val="none" w:sz="0" w:space="0" w:color="auto"/>
            <w:right w:val="none" w:sz="0" w:space="0" w:color="auto"/>
          </w:divBdr>
        </w:div>
        <w:div w:id="1685747167">
          <w:marLeft w:val="0"/>
          <w:marRight w:val="0"/>
          <w:marTop w:val="0"/>
          <w:marBottom w:val="0"/>
          <w:divBdr>
            <w:top w:val="none" w:sz="0" w:space="0" w:color="auto"/>
            <w:left w:val="none" w:sz="0" w:space="0" w:color="auto"/>
            <w:bottom w:val="none" w:sz="0" w:space="0" w:color="auto"/>
            <w:right w:val="none" w:sz="0" w:space="0" w:color="auto"/>
          </w:divBdr>
        </w:div>
        <w:div w:id="93408584">
          <w:marLeft w:val="0"/>
          <w:marRight w:val="0"/>
          <w:marTop w:val="0"/>
          <w:marBottom w:val="0"/>
          <w:divBdr>
            <w:top w:val="none" w:sz="0" w:space="0" w:color="auto"/>
            <w:left w:val="none" w:sz="0" w:space="0" w:color="auto"/>
            <w:bottom w:val="none" w:sz="0" w:space="0" w:color="auto"/>
            <w:right w:val="none" w:sz="0" w:space="0" w:color="auto"/>
          </w:divBdr>
        </w:div>
        <w:div w:id="1457872568">
          <w:marLeft w:val="0"/>
          <w:marRight w:val="0"/>
          <w:marTop w:val="0"/>
          <w:marBottom w:val="0"/>
          <w:divBdr>
            <w:top w:val="none" w:sz="0" w:space="0" w:color="auto"/>
            <w:left w:val="none" w:sz="0" w:space="0" w:color="auto"/>
            <w:bottom w:val="none" w:sz="0" w:space="0" w:color="auto"/>
            <w:right w:val="none" w:sz="0" w:space="0" w:color="auto"/>
          </w:divBdr>
        </w:div>
        <w:div w:id="1368917686">
          <w:marLeft w:val="0"/>
          <w:marRight w:val="0"/>
          <w:marTop w:val="0"/>
          <w:marBottom w:val="0"/>
          <w:divBdr>
            <w:top w:val="none" w:sz="0" w:space="0" w:color="auto"/>
            <w:left w:val="none" w:sz="0" w:space="0" w:color="auto"/>
            <w:bottom w:val="none" w:sz="0" w:space="0" w:color="auto"/>
            <w:right w:val="none" w:sz="0" w:space="0" w:color="auto"/>
          </w:divBdr>
        </w:div>
        <w:div w:id="1825780563">
          <w:marLeft w:val="0"/>
          <w:marRight w:val="0"/>
          <w:marTop w:val="0"/>
          <w:marBottom w:val="0"/>
          <w:divBdr>
            <w:top w:val="none" w:sz="0" w:space="0" w:color="auto"/>
            <w:left w:val="none" w:sz="0" w:space="0" w:color="auto"/>
            <w:bottom w:val="none" w:sz="0" w:space="0" w:color="auto"/>
            <w:right w:val="none" w:sz="0" w:space="0" w:color="auto"/>
          </w:divBdr>
        </w:div>
        <w:div w:id="251548128">
          <w:marLeft w:val="0"/>
          <w:marRight w:val="0"/>
          <w:marTop w:val="0"/>
          <w:marBottom w:val="0"/>
          <w:divBdr>
            <w:top w:val="none" w:sz="0" w:space="0" w:color="auto"/>
            <w:left w:val="none" w:sz="0" w:space="0" w:color="auto"/>
            <w:bottom w:val="none" w:sz="0" w:space="0" w:color="auto"/>
            <w:right w:val="none" w:sz="0" w:space="0" w:color="auto"/>
          </w:divBdr>
        </w:div>
        <w:div w:id="675159715">
          <w:marLeft w:val="0"/>
          <w:marRight w:val="0"/>
          <w:marTop w:val="0"/>
          <w:marBottom w:val="0"/>
          <w:divBdr>
            <w:top w:val="none" w:sz="0" w:space="0" w:color="auto"/>
            <w:left w:val="none" w:sz="0" w:space="0" w:color="auto"/>
            <w:bottom w:val="none" w:sz="0" w:space="0" w:color="auto"/>
            <w:right w:val="none" w:sz="0" w:space="0" w:color="auto"/>
          </w:divBdr>
        </w:div>
        <w:div w:id="1981962654">
          <w:marLeft w:val="0"/>
          <w:marRight w:val="0"/>
          <w:marTop w:val="0"/>
          <w:marBottom w:val="0"/>
          <w:divBdr>
            <w:top w:val="none" w:sz="0" w:space="0" w:color="auto"/>
            <w:left w:val="none" w:sz="0" w:space="0" w:color="auto"/>
            <w:bottom w:val="none" w:sz="0" w:space="0" w:color="auto"/>
            <w:right w:val="none" w:sz="0" w:space="0" w:color="auto"/>
          </w:divBdr>
        </w:div>
        <w:div w:id="789594793">
          <w:marLeft w:val="0"/>
          <w:marRight w:val="0"/>
          <w:marTop w:val="0"/>
          <w:marBottom w:val="0"/>
          <w:divBdr>
            <w:top w:val="none" w:sz="0" w:space="0" w:color="auto"/>
            <w:left w:val="none" w:sz="0" w:space="0" w:color="auto"/>
            <w:bottom w:val="none" w:sz="0" w:space="0" w:color="auto"/>
            <w:right w:val="none" w:sz="0" w:space="0" w:color="auto"/>
          </w:divBdr>
        </w:div>
        <w:div w:id="1748762736">
          <w:marLeft w:val="0"/>
          <w:marRight w:val="0"/>
          <w:marTop w:val="0"/>
          <w:marBottom w:val="0"/>
          <w:divBdr>
            <w:top w:val="none" w:sz="0" w:space="0" w:color="auto"/>
            <w:left w:val="none" w:sz="0" w:space="0" w:color="auto"/>
            <w:bottom w:val="none" w:sz="0" w:space="0" w:color="auto"/>
            <w:right w:val="none" w:sz="0" w:space="0" w:color="auto"/>
          </w:divBdr>
        </w:div>
        <w:div w:id="1123309835">
          <w:marLeft w:val="0"/>
          <w:marRight w:val="0"/>
          <w:marTop w:val="0"/>
          <w:marBottom w:val="0"/>
          <w:divBdr>
            <w:top w:val="none" w:sz="0" w:space="0" w:color="auto"/>
            <w:left w:val="none" w:sz="0" w:space="0" w:color="auto"/>
            <w:bottom w:val="none" w:sz="0" w:space="0" w:color="auto"/>
            <w:right w:val="none" w:sz="0" w:space="0" w:color="auto"/>
          </w:divBdr>
        </w:div>
        <w:div w:id="422146076">
          <w:marLeft w:val="0"/>
          <w:marRight w:val="0"/>
          <w:marTop w:val="0"/>
          <w:marBottom w:val="0"/>
          <w:divBdr>
            <w:top w:val="none" w:sz="0" w:space="0" w:color="auto"/>
            <w:left w:val="none" w:sz="0" w:space="0" w:color="auto"/>
            <w:bottom w:val="none" w:sz="0" w:space="0" w:color="auto"/>
            <w:right w:val="none" w:sz="0" w:space="0" w:color="auto"/>
          </w:divBdr>
        </w:div>
        <w:div w:id="2034841831">
          <w:marLeft w:val="0"/>
          <w:marRight w:val="0"/>
          <w:marTop w:val="0"/>
          <w:marBottom w:val="0"/>
          <w:divBdr>
            <w:top w:val="none" w:sz="0" w:space="0" w:color="auto"/>
            <w:left w:val="none" w:sz="0" w:space="0" w:color="auto"/>
            <w:bottom w:val="none" w:sz="0" w:space="0" w:color="auto"/>
            <w:right w:val="none" w:sz="0" w:space="0" w:color="auto"/>
          </w:divBdr>
        </w:div>
        <w:div w:id="128132276">
          <w:marLeft w:val="0"/>
          <w:marRight w:val="0"/>
          <w:marTop w:val="0"/>
          <w:marBottom w:val="0"/>
          <w:divBdr>
            <w:top w:val="none" w:sz="0" w:space="0" w:color="auto"/>
            <w:left w:val="none" w:sz="0" w:space="0" w:color="auto"/>
            <w:bottom w:val="none" w:sz="0" w:space="0" w:color="auto"/>
            <w:right w:val="none" w:sz="0" w:space="0" w:color="auto"/>
          </w:divBdr>
        </w:div>
        <w:div w:id="505479373">
          <w:marLeft w:val="0"/>
          <w:marRight w:val="0"/>
          <w:marTop w:val="0"/>
          <w:marBottom w:val="0"/>
          <w:divBdr>
            <w:top w:val="none" w:sz="0" w:space="0" w:color="auto"/>
            <w:left w:val="none" w:sz="0" w:space="0" w:color="auto"/>
            <w:bottom w:val="none" w:sz="0" w:space="0" w:color="auto"/>
            <w:right w:val="none" w:sz="0" w:space="0" w:color="auto"/>
          </w:divBdr>
        </w:div>
        <w:div w:id="1318458111">
          <w:marLeft w:val="0"/>
          <w:marRight w:val="0"/>
          <w:marTop w:val="0"/>
          <w:marBottom w:val="0"/>
          <w:divBdr>
            <w:top w:val="none" w:sz="0" w:space="0" w:color="auto"/>
            <w:left w:val="none" w:sz="0" w:space="0" w:color="auto"/>
            <w:bottom w:val="none" w:sz="0" w:space="0" w:color="auto"/>
            <w:right w:val="none" w:sz="0" w:space="0" w:color="auto"/>
          </w:divBdr>
        </w:div>
        <w:div w:id="1213880002">
          <w:marLeft w:val="0"/>
          <w:marRight w:val="0"/>
          <w:marTop w:val="0"/>
          <w:marBottom w:val="0"/>
          <w:divBdr>
            <w:top w:val="none" w:sz="0" w:space="0" w:color="auto"/>
            <w:left w:val="none" w:sz="0" w:space="0" w:color="auto"/>
            <w:bottom w:val="none" w:sz="0" w:space="0" w:color="auto"/>
            <w:right w:val="none" w:sz="0" w:space="0" w:color="auto"/>
          </w:divBdr>
        </w:div>
        <w:div w:id="1726299318">
          <w:marLeft w:val="0"/>
          <w:marRight w:val="0"/>
          <w:marTop w:val="0"/>
          <w:marBottom w:val="0"/>
          <w:divBdr>
            <w:top w:val="none" w:sz="0" w:space="0" w:color="auto"/>
            <w:left w:val="none" w:sz="0" w:space="0" w:color="auto"/>
            <w:bottom w:val="none" w:sz="0" w:space="0" w:color="auto"/>
            <w:right w:val="none" w:sz="0" w:space="0" w:color="auto"/>
          </w:divBdr>
        </w:div>
        <w:div w:id="775709471">
          <w:marLeft w:val="0"/>
          <w:marRight w:val="0"/>
          <w:marTop w:val="0"/>
          <w:marBottom w:val="0"/>
          <w:divBdr>
            <w:top w:val="none" w:sz="0" w:space="0" w:color="auto"/>
            <w:left w:val="none" w:sz="0" w:space="0" w:color="auto"/>
            <w:bottom w:val="none" w:sz="0" w:space="0" w:color="auto"/>
            <w:right w:val="none" w:sz="0" w:space="0" w:color="auto"/>
          </w:divBdr>
        </w:div>
        <w:div w:id="1332754379">
          <w:marLeft w:val="0"/>
          <w:marRight w:val="0"/>
          <w:marTop w:val="0"/>
          <w:marBottom w:val="0"/>
          <w:divBdr>
            <w:top w:val="none" w:sz="0" w:space="0" w:color="auto"/>
            <w:left w:val="none" w:sz="0" w:space="0" w:color="auto"/>
            <w:bottom w:val="none" w:sz="0" w:space="0" w:color="auto"/>
            <w:right w:val="none" w:sz="0" w:space="0" w:color="auto"/>
          </w:divBdr>
        </w:div>
        <w:div w:id="193351047">
          <w:marLeft w:val="0"/>
          <w:marRight w:val="0"/>
          <w:marTop w:val="0"/>
          <w:marBottom w:val="0"/>
          <w:divBdr>
            <w:top w:val="none" w:sz="0" w:space="0" w:color="auto"/>
            <w:left w:val="none" w:sz="0" w:space="0" w:color="auto"/>
            <w:bottom w:val="none" w:sz="0" w:space="0" w:color="auto"/>
            <w:right w:val="none" w:sz="0" w:space="0" w:color="auto"/>
          </w:divBdr>
        </w:div>
        <w:div w:id="1406686797">
          <w:marLeft w:val="0"/>
          <w:marRight w:val="0"/>
          <w:marTop w:val="0"/>
          <w:marBottom w:val="0"/>
          <w:divBdr>
            <w:top w:val="none" w:sz="0" w:space="0" w:color="auto"/>
            <w:left w:val="none" w:sz="0" w:space="0" w:color="auto"/>
            <w:bottom w:val="none" w:sz="0" w:space="0" w:color="auto"/>
            <w:right w:val="none" w:sz="0" w:space="0" w:color="auto"/>
          </w:divBdr>
        </w:div>
        <w:div w:id="1505510336">
          <w:marLeft w:val="0"/>
          <w:marRight w:val="0"/>
          <w:marTop w:val="0"/>
          <w:marBottom w:val="0"/>
          <w:divBdr>
            <w:top w:val="none" w:sz="0" w:space="0" w:color="auto"/>
            <w:left w:val="none" w:sz="0" w:space="0" w:color="auto"/>
            <w:bottom w:val="none" w:sz="0" w:space="0" w:color="auto"/>
            <w:right w:val="none" w:sz="0" w:space="0" w:color="auto"/>
          </w:divBdr>
        </w:div>
        <w:div w:id="1181970074">
          <w:marLeft w:val="0"/>
          <w:marRight w:val="0"/>
          <w:marTop w:val="0"/>
          <w:marBottom w:val="0"/>
          <w:divBdr>
            <w:top w:val="none" w:sz="0" w:space="0" w:color="auto"/>
            <w:left w:val="none" w:sz="0" w:space="0" w:color="auto"/>
            <w:bottom w:val="none" w:sz="0" w:space="0" w:color="auto"/>
            <w:right w:val="none" w:sz="0" w:space="0" w:color="auto"/>
          </w:divBdr>
        </w:div>
        <w:div w:id="701783076">
          <w:marLeft w:val="0"/>
          <w:marRight w:val="0"/>
          <w:marTop w:val="0"/>
          <w:marBottom w:val="0"/>
          <w:divBdr>
            <w:top w:val="none" w:sz="0" w:space="0" w:color="auto"/>
            <w:left w:val="none" w:sz="0" w:space="0" w:color="auto"/>
            <w:bottom w:val="none" w:sz="0" w:space="0" w:color="auto"/>
            <w:right w:val="none" w:sz="0" w:space="0" w:color="auto"/>
          </w:divBdr>
        </w:div>
        <w:div w:id="1906378817">
          <w:marLeft w:val="0"/>
          <w:marRight w:val="0"/>
          <w:marTop w:val="0"/>
          <w:marBottom w:val="0"/>
          <w:divBdr>
            <w:top w:val="none" w:sz="0" w:space="0" w:color="auto"/>
            <w:left w:val="none" w:sz="0" w:space="0" w:color="auto"/>
            <w:bottom w:val="none" w:sz="0" w:space="0" w:color="auto"/>
            <w:right w:val="none" w:sz="0" w:space="0" w:color="auto"/>
          </w:divBdr>
        </w:div>
        <w:div w:id="1033337265">
          <w:marLeft w:val="0"/>
          <w:marRight w:val="0"/>
          <w:marTop w:val="0"/>
          <w:marBottom w:val="0"/>
          <w:divBdr>
            <w:top w:val="none" w:sz="0" w:space="0" w:color="auto"/>
            <w:left w:val="none" w:sz="0" w:space="0" w:color="auto"/>
            <w:bottom w:val="none" w:sz="0" w:space="0" w:color="auto"/>
            <w:right w:val="none" w:sz="0" w:space="0" w:color="auto"/>
          </w:divBdr>
        </w:div>
        <w:div w:id="398141511">
          <w:marLeft w:val="0"/>
          <w:marRight w:val="0"/>
          <w:marTop w:val="0"/>
          <w:marBottom w:val="0"/>
          <w:divBdr>
            <w:top w:val="none" w:sz="0" w:space="0" w:color="auto"/>
            <w:left w:val="none" w:sz="0" w:space="0" w:color="auto"/>
            <w:bottom w:val="none" w:sz="0" w:space="0" w:color="auto"/>
            <w:right w:val="none" w:sz="0" w:space="0" w:color="auto"/>
          </w:divBdr>
        </w:div>
        <w:div w:id="1249071454">
          <w:marLeft w:val="0"/>
          <w:marRight w:val="0"/>
          <w:marTop w:val="0"/>
          <w:marBottom w:val="0"/>
          <w:divBdr>
            <w:top w:val="none" w:sz="0" w:space="0" w:color="auto"/>
            <w:left w:val="none" w:sz="0" w:space="0" w:color="auto"/>
            <w:bottom w:val="none" w:sz="0" w:space="0" w:color="auto"/>
            <w:right w:val="none" w:sz="0" w:space="0" w:color="auto"/>
          </w:divBdr>
        </w:div>
        <w:div w:id="693380679">
          <w:marLeft w:val="0"/>
          <w:marRight w:val="0"/>
          <w:marTop w:val="0"/>
          <w:marBottom w:val="0"/>
          <w:divBdr>
            <w:top w:val="none" w:sz="0" w:space="0" w:color="auto"/>
            <w:left w:val="none" w:sz="0" w:space="0" w:color="auto"/>
            <w:bottom w:val="none" w:sz="0" w:space="0" w:color="auto"/>
            <w:right w:val="none" w:sz="0" w:space="0" w:color="auto"/>
          </w:divBdr>
        </w:div>
        <w:div w:id="325062587">
          <w:marLeft w:val="0"/>
          <w:marRight w:val="0"/>
          <w:marTop w:val="0"/>
          <w:marBottom w:val="0"/>
          <w:divBdr>
            <w:top w:val="none" w:sz="0" w:space="0" w:color="auto"/>
            <w:left w:val="none" w:sz="0" w:space="0" w:color="auto"/>
            <w:bottom w:val="none" w:sz="0" w:space="0" w:color="auto"/>
            <w:right w:val="none" w:sz="0" w:space="0" w:color="auto"/>
          </w:divBdr>
        </w:div>
        <w:div w:id="1966539250">
          <w:marLeft w:val="0"/>
          <w:marRight w:val="0"/>
          <w:marTop w:val="0"/>
          <w:marBottom w:val="0"/>
          <w:divBdr>
            <w:top w:val="none" w:sz="0" w:space="0" w:color="auto"/>
            <w:left w:val="none" w:sz="0" w:space="0" w:color="auto"/>
            <w:bottom w:val="none" w:sz="0" w:space="0" w:color="auto"/>
            <w:right w:val="none" w:sz="0" w:space="0" w:color="auto"/>
          </w:divBdr>
        </w:div>
        <w:div w:id="753212138">
          <w:marLeft w:val="0"/>
          <w:marRight w:val="0"/>
          <w:marTop w:val="0"/>
          <w:marBottom w:val="0"/>
          <w:divBdr>
            <w:top w:val="none" w:sz="0" w:space="0" w:color="auto"/>
            <w:left w:val="none" w:sz="0" w:space="0" w:color="auto"/>
            <w:bottom w:val="none" w:sz="0" w:space="0" w:color="auto"/>
            <w:right w:val="none" w:sz="0" w:space="0" w:color="auto"/>
          </w:divBdr>
        </w:div>
        <w:div w:id="486940138">
          <w:marLeft w:val="0"/>
          <w:marRight w:val="0"/>
          <w:marTop w:val="0"/>
          <w:marBottom w:val="0"/>
          <w:divBdr>
            <w:top w:val="none" w:sz="0" w:space="0" w:color="auto"/>
            <w:left w:val="none" w:sz="0" w:space="0" w:color="auto"/>
            <w:bottom w:val="none" w:sz="0" w:space="0" w:color="auto"/>
            <w:right w:val="none" w:sz="0" w:space="0" w:color="auto"/>
          </w:divBdr>
        </w:div>
        <w:div w:id="401759183">
          <w:marLeft w:val="0"/>
          <w:marRight w:val="0"/>
          <w:marTop w:val="0"/>
          <w:marBottom w:val="0"/>
          <w:divBdr>
            <w:top w:val="none" w:sz="0" w:space="0" w:color="auto"/>
            <w:left w:val="none" w:sz="0" w:space="0" w:color="auto"/>
            <w:bottom w:val="none" w:sz="0" w:space="0" w:color="auto"/>
            <w:right w:val="none" w:sz="0" w:space="0" w:color="auto"/>
          </w:divBdr>
        </w:div>
        <w:div w:id="669334156">
          <w:marLeft w:val="0"/>
          <w:marRight w:val="0"/>
          <w:marTop w:val="0"/>
          <w:marBottom w:val="0"/>
          <w:divBdr>
            <w:top w:val="none" w:sz="0" w:space="0" w:color="auto"/>
            <w:left w:val="none" w:sz="0" w:space="0" w:color="auto"/>
            <w:bottom w:val="none" w:sz="0" w:space="0" w:color="auto"/>
            <w:right w:val="none" w:sz="0" w:space="0" w:color="auto"/>
          </w:divBdr>
        </w:div>
        <w:div w:id="475680942">
          <w:marLeft w:val="0"/>
          <w:marRight w:val="0"/>
          <w:marTop w:val="0"/>
          <w:marBottom w:val="0"/>
          <w:divBdr>
            <w:top w:val="none" w:sz="0" w:space="0" w:color="auto"/>
            <w:left w:val="none" w:sz="0" w:space="0" w:color="auto"/>
            <w:bottom w:val="none" w:sz="0" w:space="0" w:color="auto"/>
            <w:right w:val="none" w:sz="0" w:space="0" w:color="auto"/>
          </w:divBdr>
        </w:div>
        <w:div w:id="1447429860">
          <w:marLeft w:val="0"/>
          <w:marRight w:val="0"/>
          <w:marTop w:val="0"/>
          <w:marBottom w:val="0"/>
          <w:divBdr>
            <w:top w:val="none" w:sz="0" w:space="0" w:color="auto"/>
            <w:left w:val="none" w:sz="0" w:space="0" w:color="auto"/>
            <w:bottom w:val="none" w:sz="0" w:space="0" w:color="auto"/>
            <w:right w:val="none" w:sz="0" w:space="0" w:color="auto"/>
          </w:divBdr>
        </w:div>
        <w:div w:id="1858234841">
          <w:marLeft w:val="0"/>
          <w:marRight w:val="0"/>
          <w:marTop w:val="0"/>
          <w:marBottom w:val="0"/>
          <w:divBdr>
            <w:top w:val="none" w:sz="0" w:space="0" w:color="auto"/>
            <w:left w:val="none" w:sz="0" w:space="0" w:color="auto"/>
            <w:bottom w:val="none" w:sz="0" w:space="0" w:color="auto"/>
            <w:right w:val="none" w:sz="0" w:space="0" w:color="auto"/>
          </w:divBdr>
        </w:div>
        <w:div w:id="1222520985">
          <w:marLeft w:val="0"/>
          <w:marRight w:val="0"/>
          <w:marTop w:val="0"/>
          <w:marBottom w:val="0"/>
          <w:divBdr>
            <w:top w:val="none" w:sz="0" w:space="0" w:color="auto"/>
            <w:left w:val="none" w:sz="0" w:space="0" w:color="auto"/>
            <w:bottom w:val="none" w:sz="0" w:space="0" w:color="auto"/>
            <w:right w:val="none" w:sz="0" w:space="0" w:color="auto"/>
          </w:divBdr>
        </w:div>
        <w:div w:id="1867862202">
          <w:marLeft w:val="0"/>
          <w:marRight w:val="0"/>
          <w:marTop w:val="0"/>
          <w:marBottom w:val="0"/>
          <w:divBdr>
            <w:top w:val="none" w:sz="0" w:space="0" w:color="auto"/>
            <w:left w:val="none" w:sz="0" w:space="0" w:color="auto"/>
            <w:bottom w:val="none" w:sz="0" w:space="0" w:color="auto"/>
            <w:right w:val="none" w:sz="0" w:space="0" w:color="auto"/>
          </w:divBdr>
        </w:div>
        <w:div w:id="21976450">
          <w:marLeft w:val="0"/>
          <w:marRight w:val="0"/>
          <w:marTop w:val="0"/>
          <w:marBottom w:val="0"/>
          <w:divBdr>
            <w:top w:val="none" w:sz="0" w:space="0" w:color="auto"/>
            <w:left w:val="none" w:sz="0" w:space="0" w:color="auto"/>
            <w:bottom w:val="none" w:sz="0" w:space="0" w:color="auto"/>
            <w:right w:val="none" w:sz="0" w:space="0" w:color="auto"/>
          </w:divBdr>
        </w:div>
        <w:div w:id="2053647870">
          <w:marLeft w:val="0"/>
          <w:marRight w:val="0"/>
          <w:marTop w:val="0"/>
          <w:marBottom w:val="0"/>
          <w:divBdr>
            <w:top w:val="none" w:sz="0" w:space="0" w:color="auto"/>
            <w:left w:val="none" w:sz="0" w:space="0" w:color="auto"/>
            <w:bottom w:val="none" w:sz="0" w:space="0" w:color="auto"/>
            <w:right w:val="none" w:sz="0" w:space="0" w:color="auto"/>
          </w:divBdr>
        </w:div>
        <w:div w:id="36244162">
          <w:marLeft w:val="0"/>
          <w:marRight w:val="0"/>
          <w:marTop w:val="0"/>
          <w:marBottom w:val="0"/>
          <w:divBdr>
            <w:top w:val="none" w:sz="0" w:space="0" w:color="auto"/>
            <w:left w:val="none" w:sz="0" w:space="0" w:color="auto"/>
            <w:bottom w:val="none" w:sz="0" w:space="0" w:color="auto"/>
            <w:right w:val="none" w:sz="0" w:space="0" w:color="auto"/>
          </w:divBdr>
        </w:div>
        <w:div w:id="1210604023">
          <w:marLeft w:val="0"/>
          <w:marRight w:val="0"/>
          <w:marTop w:val="0"/>
          <w:marBottom w:val="0"/>
          <w:divBdr>
            <w:top w:val="none" w:sz="0" w:space="0" w:color="auto"/>
            <w:left w:val="none" w:sz="0" w:space="0" w:color="auto"/>
            <w:bottom w:val="none" w:sz="0" w:space="0" w:color="auto"/>
            <w:right w:val="none" w:sz="0" w:space="0" w:color="auto"/>
          </w:divBdr>
        </w:div>
        <w:div w:id="1980301787">
          <w:marLeft w:val="0"/>
          <w:marRight w:val="0"/>
          <w:marTop w:val="0"/>
          <w:marBottom w:val="0"/>
          <w:divBdr>
            <w:top w:val="none" w:sz="0" w:space="0" w:color="auto"/>
            <w:left w:val="none" w:sz="0" w:space="0" w:color="auto"/>
            <w:bottom w:val="none" w:sz="0" w:space="0" w:color="auto"/>
            <w:right w:val="none" w:sz="0" w:space="0" w:color="auto"/>
          </w:divBdr>
        </w:div>
        <w:div w:id="880942536">
          <w:marLeft w:val="0"/>
          <w:marRight w:val="0"/>
          <w:marTop w:val="0"/>
          <w:marBottom w:val="0"/>
          <w:divBdr>
            <w:top w:val="none" w:sz="0" w:space="0" w:color="auto"/>
            <w:left w:val="none" w:sz="0" w:space="0" w:color="auto"/>
            <w:bottom w:val="none" w:sz="0" w:space="0" w:color="auto"/>
            <w:right w:val="none" w:sz="0" w:space="0" w:color="auto"/>
          </w:divBdr>
        </w:div>
        <w:div w:id="58329443">
          <w:marLeft w:val="0"/>
          <w:marRight w:val="0"/>
          <w:marTop w:val="0"/>
          <w:marBottom w:val="0"/>
          <w:divBdr>
            <w:top w:val="none" w:sz="0" w:space="0" w:color="auto"/>
            <w:left w:val="none" w:sz="0" w:space="0" w:color="auto"/>
            <w:bottom w:val="none" w:sz="0" w:space="0" w:color="auto"/>
            <w:right w:val="none" w:sz="0" w:space="0" w:color="auto"/>
          </w:divBdr>
        </w:div>
        <w:div w:id="916552319">
          <w:marLeft w:val="0"/>
          <w:marRight w:val="0"/>
          <w:marTop w:val="0"/>
          <w:marBottom w:val="0"/>
          <w:divBdr>
            <w:top w:val="none" w:sz="0" w:space="0" w:color="auto"/>
            <w:left w:val="none" w:sz="0" w:space="0" w:color="auto"/>
            <w:bottom w:val="none" w:sz="0" w:space="0" w:color="auto"/>
            <w:right w:val="none" w:sz="0" w:space="0" w:color="auto"/>
          </w:divBdr>
        </w:div>
        <w:div w:id="316541077">
          <w:marLeft w:val="0"/>
          <w:marRight w:val="0"/>
          <w:marTop w:val="0"/>
          <w:marBottom w:val="0"/>
          <w:divBdr>
            <w:top w:val="none" w:sz="0" w:space="0" w:color="auto"/>
            <w:left w:val="none" w:sz="0" w:space="0" w:color="auto"/>
            <w:bottom w:val="none" w:sz="0" w:space="0" w:color="auto"/>
            <w:right w:val="none" w:sz="0" w:space="0" w:color="auto"/>
          </w:divBdr>
        </w:div>
        <w:div w:id="1131827726">
          <w:marLeft w:val="0"/>
          <w:marRight w:val="0"/>
          <w:marTop w:val="0"/>
          <w:marBottom w:val="0"/>
          <w:divBdr>
            <w:top w:val="none" w:sz="0" w:space="0" w:color="auto"/>
            <w:left w:val="none" w:sz="0" w:space="0" w:color="auto"/>
            <w:bottom w:val="none" w:sz="0" w:space="0" w:color="auto"/>
            <w:right w:val="none" w:sz="0" w:space="0" w:color="auto"/>
          </w:divBdr>
        </w:div>
        <w:div w:id="194931794">
          <w:marLeft w:val="0"/>
          <w:marRight w:val="0"/>
          <w:marTop w:val="0"/>
          <w:marBottom w:val="0"/>
          <w:divBdr>
            <w:top w:val="none" w:sz="0" w:space="0" w:color="auto"/>
            <w:left w:val="none" w:sz="0" w:space="0" w:color="auto"/>
            <w:bottom w:val="none" w:sz="0" w:space="0" w:color="auto"/>
            <w:right w:val="none" w:sz="0" w:space="0" w:color="auto"/>
          </w:divBdr>
        </w:div>
        <w:div w:id="820660954">
          <w:marLeft w:val="0"/>
          <w:marRight w:val="0"/>
          <w:marTop w:val="0"/>
          <w:marBottom w:val="0"/>
          <w:divBdr>
            <w:top w:val="none" w:sz="0" w:space="0" w:color="auto"/>
            <w:left w:val="none" w:sz="0" w:space="0" w:color="auto"/>
            <w:bottom w:val="none" w:sz="0" w:space="0" w:color="auto"/>
            <w:right w:val="none" w:sz="0" w:space="0" w:color="auto"/>
          </w:divBdr>
        </w:div>
        <w:div w:id="457643872">
          <w:marLeft w:val="0"/>
          <w:marRight w:val="0"/>
          <w:marTop w:val="0"/>
          <w:marBottom w:val="0"/>
          <w:divBdr>
            <w:top w:val="none" w:sz="0" w:space="0" w:color="auto"/>
            <w:left w:val="none" w:sz="0" w:space="0" w:color="auto"/>
            <w:bottom w:val="none" w:sz="0" w:space="0" w:color="auto"/>
            <w:right w:val="none" w:sz="0" w:space="0" w:color="auto"/>
          </w:divBdr>
        </w:div>
        <w:div w:id="1404060999">
          <w:marLeft w:val="0"/>
          <w:marRight w:val="0"/>
          <w:marTop w:val="0"/>
          <w:marBottom w:val="0"/>
          <w:divBdr>
            <w:top w:val="none" w:sz="0" w:space="0" w:color="auto"/>
            <w:left w:val="none" w:sz="0" w:space="0" w:color="auto"/>
            <w:bottom w:val="none" w:sz="0" w:space="0" w:color="auto"/>
            <w:right w:val="none" w:sz="0" w:space="0" w:color="auto"/>
          </w:divBdr>
        </w:div>
        <w:div w:id="1152866104">
          <w:marLeft w:val="0"/>
          <w:marRight w:val="0"/>
          <w:marTop w:val="0"/>
          <w:marBottom w:val="0"/>
          <w:divBdr>
            <w:top w:val="none" w:sz="0" w:space="0" w:color="auto"/>
            <w:left w:val="none" w:sz="0" w:space="0" w:color="auto"/>
            <w:bottom w:val="none" w:sz="0" w:space="0" w:color="auto"/>
            <w:right w:val="none" w:sz="0" w:space="0" w:color="auto"/>
          </w:divBdr>
        </w:div>
        <w:div w:id="830753674">
          <w:marLeft w:val="0"/>
          <w:marRight w:val="0"/>
          <w:marTop w:val="0"/>
          <w:marBottom w:val="0"/>
          <w:divBdr>
            <w:top w:val="none" w:sz="0" w:space="0" w:color="auto"/>
            <w:left w:val="none" w:sz="0" w:space="0" w:color="auto"/>
            <w:bottom w:val="none" w:sz="0" w:space="0" w:color="auto"/>
            <w:right w:val="none" w:sz="0" w:space="0" w:color="auto"/>
          </w:divBdr>
        </w:div>
        <w:div w:id="29688283">
          <w:marLeft w:val="0"/>
          <w:marRight w:val="0"/>
          <w:marTop w:val="0"/>
          <w:marBottom w:val="0"/>
          <w:divBdr>
            <w:top w:val="none" w:sz="0" w:space="0" w:color="auto"/>
            <w:left w:val="none" w:sz="0" w:space="0" w:color="auto"/>
            <w:bottom w:val="none" w:sz="0" w:space="0" w:color="auto"/>
            <w:right w:val="none" w:sz="0" w:space="0" w:color="auto"/>
          </w:divBdr>
        </w:div>
        <w:div w:id="1158687068">
          <w:marLeft w:val="0"/>
          <w:marRight w:val="0"/>
          <w:marTop w:val="0"/>
          <w:marBottom w:val="0"/>
          <w:divBdr>
            <w:top w:val="none" w:sz="0" w:space="0" w:color="auto"/>
            <w:left w:val="none" w:sz="0" w:space="0" w:color="auto"/>
            <w:bottom w:val="none" w:sz="0" w:space="0" w:color="auto"/>
            <w:right w:val="none" w:sz="0" w:space="0" w:color="auto"/>
          </w:divBdr>
        </w:div>
        <w:div w:id="1122724058">
          <w:marLeft w:val="0"/>
          <w:marRight w:val="0"/>
          <w:marTop w:val="0"/>
          <w:marBottom w:val="0"/>
          <w:divBdr>
            <w:top w:val="none" w:sz="0" w:space="0" w:color="auto"/>
            <w:left w:val="none" w:sz="0" w:space="0" w:color="auto"/>
            <w:bottom w:val="none" w:sz="0" w:space="0" w:color="auto"/>
            <w:right w:val="none" w:sz="0" w:space="0" w:color="auto"/>
          </w:divBdr>
        </w:div>
        <w:div w:id="434595750">
          <w:marLeft w:val="0"/>
          <w:marRight w:val="0"/>
          <w:marTop w:val="0"/>
          <w:marBottom w:val="0"/>
          <w:divBdr>
            <w:top w:val="none" w:sz="0" w:space="0" w:color="auto"/>
            <w:left w:val="none" w:sz="0" w:space="0" w:color="auto"/>
            <w:bottom w:val="none" w:sz="0" w:space="0" w:color="auto"/>
            <w:right w:val="none" w:sz="0" w:space="0" w:color="auto"/>
          </w:divBdr>
        </w:div>
        <w:div w:id="2095272719">
          <w:marLeft w:val="0"/>
          <w:marRight w:val="0"/>
          <w:marTop w:val="0"/>
          <w:marBottom w:val="0"/>
          <w:divBdr>
            <w:top w:val="none" w:sz="0" w:space="0" w:color="auto"/>
            <w:left w:val="none" w:sz="0" w:space="0" w:color="auto"/>
            <w:bottom w:val="none" w:sz="0" w:space="0" w:color="auto"/>
            <w:right w:val="none" w:sz="0" w:space="0" w:color="auto"/>
          </w:divBdr>
        </w:div>
        <w:div w:id="374500958">
          <w:marLeft w:val="0"/>
          <w:marRight w:val="0"/>
          <w:marTop w:val="0"/>
          <w:marBottom w:val="0"/>
          <w:divBdr>
            <w:top w:val="none" w:sz="0" w:space="0" w:color="auto"/>
            <w:left w:val="none" w:sz="0" w:space="0" w:color="auto"/>
            <w:bottom w:val="none" w:sz="0" w:space="0" w:color="auto"/>
            <w:right w:val="none" w:sz="0" w:space="0" w:color="auto"/>
          </w:divBdr>
        </w:div>
        <w:div w:id="1004626977">
          <w:marLeft w:val="0"/>
          <w:marRight w:val="0"/>
          <w:marTop w:val="0"/>
          <w:marBottom w:val="0"/>
          <w:divBdr>
            <w:top w:val="none" w:sz="0" w:space="0" w:color="auto"/>
            <w:left w:val="none" w:sz="0" w:space="0" w:color="auto"/>
            <w:bottom w:val="none" w:sz="0" w:space="0" w:color="auto"/>
            <w:right w:val="none" w:sz="0" w:space="0" w:color="auto"/>
          </w:divBdr>
        </w:div>
        <w:div w:id="1884780821">
          <w:marLeft w:val="0"/>
          <w:marRight w:val="0"/>
          <w:marTop w:val="0"/>
          <w:marBottom w:val="0"/>
          <w:divBdr>
            <w:top w:val="none" w:sz="0" w:space="0" w:color="auto"/>
            <w:left w:val="none" w:sz="0" w:space="0" w:color="auto"/>
            <w:bottom w:val="none" w:sz="0" w:space="0" w:color="auto"/>
            <w:right w:val="none" w:sz="0" w:space="0" w:color="auto"/>
          </w:divBdr>
        </w:div>
        <w:div w:id="981302086">
          <w:marLeft w:val="0"/>
          <w:marRight w:val="0"/>
          <w:marTop w:val="0"/>
          <w:marBottom w:val="0"/>
          <w:divBdr>
            <w:top w:val="none" w:sz="0" w:space="0" w:color="auto"/>
            <w:left w:val="none" w:sz="0" w:space="0" w:color="auto"/>
            <w:bottom w:val="none" w:sz="0" w:space="0" w:color="auto"/>
            <w:right w:val="none" w:sz="0" w:space="0" w:color="auto"/>
          </w:divBdr>
        </w:div>
        <w:div w:id="1563755762">
          <w:marLeft w:val="0"/>
          <w:marRight w:val="0"/>
          <w:marTop w:val="0"/>
          <w:marBottom w:val="0"/>
          <w:divBdr>
            <w:top w:val="none" w:sz="0" w:space="0" w:color="auto"/>
            <w:left w:val="none" w:sz="0" w:space="0" w:color="auto"/>
            <w:bottom w:val="none" w:sz="0" w:space="0" w:color="auto"/>
            <w:right w:val="none" w:sz="0" w:space="0" w:color="auto"/>
          </w:divBdr>
        </w:div>
        <w:div w:id="818227719">
          <w:marLeft w:val="0"/>
          <w:marRight w:val="0"/>
          <w:marTop w:val="0"/>
          <w:marBottom w:val="0"/>
          <w:divBdr>
            <w:top w:val="none" w:sz="0" w:space="0" w:color="auto"/>
            <w:left w:val="none" w:sz="0" w:space="0" w:color="auto"/>
            <w:bottom w:val="none" w:sz="0" w:space="0" w:color="auto"/>
            <w:right w:val="none" w:sz="0" w:space="0" w:color="auto"/>
          </w:divBdr>
        </w:div>
        <w:div w:id="1905138674">
          <w:marLeft w:val="0"/>
          <w:marRight w:val="0"/>
          <w:marTop w:val="0"/>
          <w:marBottom w:val="0"/>
          <w:divBdr>
            <w:top w:val="none" w:sz="0" w:space="0" w:color="auto"/>
            <w:left w:val="none" w:sz="0" w:space="0" w:color="auto"/>
            <w:bottom w:val="none" w:sz="0" w:space="0" w:color="auto"/>
            <w:right w:val="none" w:sz="0" w:space="0" w:color="auto"/>
          </w:divBdr>
        </w:div>
        <w:div w:id="877931787">
          <w:marLeft w:val="0"/>
          <w:marRight w:val="0"/>
          <w:marTop w:val="0"/>
          <w:marBottom w:val="0"/>
          <w:divBdr>
            <w:top w:val="none" w:sz="0" w:space="0" w:color="auto"/>
            <w:left w:val="none" w:sz="0" w:space="0" w:color="auto"/>
            <w:bottom w:val="none" w:sz="0" w:space="0" w:color="auto"/>
            <w:right w:val="none" w:sz="0" w:space="0" w:color="auto"/>
          </w:divBdr>
        </w:div>
        <w:div w:id="218397346">
          <w:marLeft w:val="0"/>
          <w:marRight w:val="0"/>
          <w:marTop w:val="0"/>
          <w:marBottom w:val="0"/>
          <w:divBdr>
            <w:top w:val="none" w:sz="0" w:space="0" w:color="auto"/>
            <w:left w:val="none" w:sz="0" w:space="0" w:color="auto"/>
            <w:bottom w:val="none" w:sz="0" w:space="0" w:color="auto"/>
            <w:right w:val="none" w:sz="0" w:space="0" w:color="auto"/>
          </w:divBdr>
        </w:div>
        <w:div w:id="1155531546">
          <w:marLeft w:val="0"/>
          <w:marRight w:val="0"/>
          <w:marTop w:val="0"/>
          <w:marBottom w:val="0"/>
          <w:divBdr>
            <w:top w:val="none" w:sz="0" w:space="0" w:color="auto"/>
            <w:left w:val="none" w:sz="0" w:space="0" w:color="auto"/>
            <w:bottom w:val="none" w:sz="0" w:space="0" w:color="auto"/>
            <w:right w:val="none" w:sz="0" w:space="0" w:color="auto"/>
          </w:divBdr>
        </w:div>
        <w:div w:id="299849655">
          <w:marLeft w:val="0"/>
          <w:marRight w:val="0"/>
          <w:marTop w:val="0"/>
          <w:marBottom w:val="0"/>
          <w:divBdr>
            <w:top w:val="none" w:sz="0" w:space="0" w:color="auto"/>
            <w:left w:val="none" w:sz="0" w:space="0" w:color="auto"/>
            <w:bottom w:val="none" w:sz="0" w:space="0" w:color="auto"/>
            <w:right w:val="none" w:sz="0" w:space="0" w:color="auto"/>
          </w:divBdr>
        </w:div>
        <w:div w:id="432671683">
          <w:marLeft w:val="0"/>
          <w:marRight w:val="0"/>
          <w:marTop w:val="0"/>
          <w:marBottom w:val="0"/>
          <w:divBdr>
            <w:top w:val="none" w:sz="0" w:space="0" w:color="auto"/>
            <w:left w:val="none" w:sz="0" w:space="0" w:color="auto"/>
            <w:bottom w:val="none" w:sz="0" w:space="0" w:color="auto"/>
            <w:right w:val="none" w:sz="0" w:space="0" w:color="auto"/>
          </w:divBdr>
        </w:div>
        <w:div w:id="834567050">
          <w:marLeft w:val="0"/>
          <w:marRight w:val="0"/>
          <w:marTop w:val="0"/>
          <w:marBottom w:val="0"/>
          <w:divBdr>
            <w:top w:val="none" w:sz="0" w:space="0" w:color="auto"/>
            <w:left w:val="none" w:sz="0" w:space="0" w:color="auto"/>
            <w:bottom w:val="none" w:sz="0" w:space="0" w:color="auto"/>
            <w:right w:val="none" w:sz="0" w:space="0" w:color="auto"/>
          </w:divBdr>
        </w:div>
        <w:div w:id="331183734">
          <w:marLeft w:val="0"/>
          <w:marRight w:val="0"/>
          <w:marTop w:val="0"/>
          <w:marBottom w:val="0"/>
          <w:divBdr>
            <w:top w:val="none" w:sz="0" w:space="0" w:color="auto"/>
            <w:left w:val="none" w:sz="0" w:space="0" w:color="auto"/>
            <w:bottom w:val="none" w:sz="0" w:space="0" w:color="auto"/>
            <w:right w:val="none" w:sz="0" w:space="0" w:color="auto"/>
          </w:divBdr>
        </w:div>
        <w:div w:id="781530870">
          <w:marLeft w:val="0"/>
          <w:marRight w:val="0"/>
          <w:marTop w:val="0"/>
          <w:marBottom w:val="0"/>
          <w:divBdr>
            <w:top w:val="none" w:sz="0" w:space="0" w:color="auto"/>
            <w:left w:val="none" w:sz="0" w:space="0" w:color="auto"/>
            <w:bottom w:val="none" w:sz="0" w:space="0" w:color="auto"/>
            <w:right w:val="none" w:sz="0" w:space="0" w:color="auto"/>
          </w:divBdr>
        </w:div>
        <w:div w:id="144326016">
          <w:marLeft w:val="0"/>
          <w:marRight w:val="0"/>
          <w:marTop w:val="0"/>
          <w:marBottom w:val="0"/>
          <w:divBdr>
            <w:top w:val="none" w:sz="0" w:space="0" w:color="auto"/>
            <w:left w:val="none" w:sz="0" w:space="0" w:color="auto"/>
            <w:bottom w:val="none" w:sz="0" w:space="0" w:color="auto"/>
            <w:right w:val="none" w:sz="0" w:space="0" w:color="auto"/>
          </w:divBdr>
        </w:div>
        <w:div w:id="1825925167">
          <w:marLeft w:val="0"/>
          <w:marRight w:val="0"/>
          <w:marTop w:val="0"/>
          <w:marBottom w:val="0"/>
          <w:divBdr>
            <w:top w:val="none" w:sz="0" w:space="0" w:color="auto"/>
            <w:left w:val="none" w:sz="0" w:space="0" w:color="auto"/>
            <w:bottom w:val="none" w:sz="0" w:space="0" w:color="auto"/>
            <w:right w:val="none" w:sz="0" w:space="0" w:color="auto"/>
          </w:divBdr>
        </w:div>
        <w:div w:id="116071758">
          <w:marLeft w:val="0"/>
          <w:marRight w:val="0"/>
          <w:marTop w:val="0"/>
          <w:marBottom w:val="0"/>
          <w:divBdr>
            <w:top w:val="none" w:sz="0" w:space="0" w:color="auto"/>
            <w:left w:val="none" w:sz="0" w:space="0" w:color="auto"/>
            <w:bottom w:val="none" w:sz="0" w:space="0" w:color="auto"/>
            <w:right w:val="none" w:sz="0" w:space="0" w:color="auto"/>
          </w:divBdr>
        </w:div>
        <w:div w:id="1365013156">
          <w:marLeft w:val="0"/>
          <w:marRight w:val="0"/>
          <w:marTop w:val="0"/>
          <w:marBottom w:val="0"/>
          <w:divBdr>
            <w:top w:val="none" w:sz="0" w:space="0" w:color="auto"/>
            <w:left w:val="none" w:sz="0" w:space="0" w:color="auto"/>
            <w:bottom w:val="none" w:sz="0" w:space="0" w:color="auto"/>
            <w:right w:val="none" w:sz="0" w:space="0" w:color="auto"/>
          </w:divBdr>
        </w:div>
        <w:div w:id="424115058">
          <w:marLeft w:val="0"/>
          <w:marRight w:val="0"/>
          <w:marTop w:val="0"/>
          <w:marBottom w:val="0"/>
          <w:divBdr>
            <w:top w:val="none" w:sz="0" w:space="0" w:color="auto"/>
            <w:left w:val="none" w:sz="0" w:space="0" w:color="auto"/>
            <w:bottom w:val="none" w:sz="0" w:space="0" w:color="auto"/>
            <w:right w:val="none" w:sz="0" w:space="0" w:color="auto"/>
          </w:divBdr>
        </w:div>
        <w:div w:id="1805078947">
          <w:marLeft w:val="0"/>
          <w:marRight w:val="0"/>
          <w:marTop w:val="0"/>
          <w:marBottom w:val="0"/>
          <w:divBdr>
            <w:top w:val="none" w:sz="0" w:space="0" w:color="auto"/>
            <w:left w:val="none" w:sz="0" w:space="0" w:color="auto"/>
            <w:bottom w:val="none" w:sz="0" w:space="0" w:color="auto"/>
            <w:right w:val="none" w:sz="0" w:space="0" w:color="auto"/>
          </w:divBdr>
        </w:div>
        <w:div w:id="1829666680">
          <w:marLeft w:val="0"/>
          <w:marRight w:val="0"/>
          <w:marTop w:val="0"/>
          <w:marBottom w:val="0"/>
          <w:divBdr>
            <w:top w:val="none" w:sz="0" w:space="0" w:color="auto"/>
            <w:left w:val="none" w:sz="0" w:space="0" w:color="auto"/>
            <w:bottom w:val="none" w:sz="0" w:space="0" w:color="auto"/>
            <w:right w:val="none" w:sz="0" w:space="0" w:color="auto"/>
          </w:divBdr>
        </w:div>
        <w:div w:id="1057514153">
          <w:marLeft w:val="0"/>
          <w:marRight w:val="0"/>
          <w:marTop w:val="0"/>
          <w:marBottom w:val="0"/>
          <w:divBdr>
            <w:top w:val="none" w:sz="0" w:space="0" w:color="auto"/>
            <w:left w:val="none" w:sz="0" w:space="0" w:color="auto"/>
            <w:bottom w:val="none" w:sz="0" w:space="0" w:color="auto"/>
            <w:right w:val="none" w:sz="0" w:space="0" w:color="auto"/>
          </w:divBdr>
        </w:div>
        <w:div w:id="611089556">
          <w:marLeft w:val="0"/>
          <w:marRight w:val="0"/>
          <w:marTop w:val="0"/>
          <w:marBottom w:val="0"/>
          <w:divBdr>
            <w:top w:val="none" w:sz="0" w:space="0" w:color="auto"/>
            <w:left w:val="none" w:sz="0" w:space="0" w:color="auto"/>
            <w:bottom w:val="none" w:sz="0" w:space="0" w:color="auto"/>
            <w:right w:val="none" w:sz="0" w:space="0" w:color="auto"/>
          </w:divBdr>
        </w:div>
        <w:div w:id="1613777292">
          <w:marLeft w:val="0"/>
          <w:marRight w:val="0"/>
          <w:marTop w:val="0"/>
          <w:marBottom w:val="0"/>
          <w:divBdr>
            <w:top w:val="none" w:sz="0" w:space="0" w:color="auto"/>
            <w:left w:val="none" w:sz="0" w:space="0" w:color="auto"/>
            <w:bottom w:val="none" w:sz="0" w:space="0" w:color="auto"/>
            <w:right w:val="none" w:sz="0" w:space="0" w:color="auto"/>
          </w:divBdr>
        </w:div>
        <w:div w:id="649751353">
          <w:marLeft w:val="0"/>
          <w:marRight w:val="0"/>
          <w:marTop w:val="0"/>
          <w:marBottom w:val="0"/>
          <w:divBdr>
            <w:top w:val="none" w:sz="0" w:space="0" w:color="auto"/>
            <w:left w:val="none" w:sz="0" w:space="0" w:color="auto"/>
            <w:bottom w:val="none" w:sz="0" w:space="0" w:color="auto"/>
            <w:right w:val="none" w:sz="0" w:space="0" w:color="auto"/>
          </w:divBdr>
        </w:div>
        <w:div w:id="108940812">
          <w:marLeft w:val="0"/>
          <w:marRight w:val="0"/>
          <w:marTop w:val="0"/>
          <w:marBottom w:val="0"/>
          <w:divBdr>
            <w:top w:val="none" w:sz="0" w:space="0" w:color="auto"/>
            <w:left w:val="none" w:sz="0" w:space="0" w:color="auto"/>
            <w:bottom w:val="none" w:sz="0" w:space="0" w:color="auto"/>
            <w:right w:val="none" w:sz="0" w:space="0" w:color="auto"/>
          </w:divBdr>
        </w:div>
        <w:div w:id="1391421812">
          <w:marLeft w:val="0"/>
          <w:marRight w:val="0"/>
          <w:marTop w:val="0"/>
          <w:marBottom w:val="0"/>
          <w:divBdr>
            <w:top w:val="none" w:sz="0" w:space="0" w:color="auto"/>
            <w:left w:val="none" w:sz="0" w:space="0" w:color="auto"/>
            <w:bottom w:val="none" w:sz="0" w:space="0" w:color="auto"/>
            <w:right w:val="none" w:sz="0" w:space="0" w:color="auto"/>
          </w:divBdr>
        </w:div>
        <w:div w:id="1013190447">
          <w:marLeft w:val="0"/>
          <w:marRight w:val="0"/>
          <w:marTop w:val="0"/>
          <w:marBottom w:val="0"/>
          <w:divBdr>
            <w:top w:val="none" w:sz="0" w:space="0" w:color="auto"/>
            <w:left w:val="none" w:sz="0" w:space="0" w:color="auto"/>
            <w:bottom w:val="none" w:sz="0" w:space="0" w:color="auto"/>
            <w:right w:val="none" w:sz="0" w:space="0" w:color="auto"/>
          </w:divBdr>
        </w:div>
        <w:div w:id="271279235">
          <w:marLeft w:val="0"/>
          <w:marRight w:val="0"/>
          <w:marTop w:val="0"/>
          <w:marBottom w:val="0"/>
          <w:divBdr>
            <w:top w:val="none" w:sz="0" w:space="0" w:color="auto"/>
            <w:left w:val="none" w:sz="0" w:space="0" w:color="auto"/>
            <w:bottom w:val="none" w:sz="0" w:space="0" w:color="auto"/>
            <w:right w:val="none" w:sz="0" w:space="0" w:color="auto"/>
          </w:divBdr>
        </w:div>
        <w:div w:id="338625107">
          <w:marLeft w:val="0"/>
          <w:marRight w:val="0"/>
          <w:marTop w:val="0"/>
          <w:marBottom w:val="0"/>
          <w:divBdr>
            <w:top w:val="none" w:sz="0" w:space="0" w:color="auto"/>
            <w:left w:val="none" w:sz="0" w:space="0" w:color="auto"/>
            <w:bottom w:val="none" w:sz="0" w:space="0" w:color="auto"/>
            <w:right w:val="none" w:sz="0" w:space="0" w:color="auto"/>
          </w:divBdr>
        </w:div>
        <w:div w:id="1110396531">
          <w:marLeft w:val="0"/>
          <w:marRight w:val="0"/>
          <w:marTop w:val="0"/>
          <w:marBottom w:val="0"/>
          <w:divBdr>
            <w:top w:val="none" w:sz="0" w:space="0" w:color="auto"/>
            <w:left w:val="none" w:sz="0" w:space="0" w:color="auto"/>
            <w:bottom w:val="none" w:sz="0" w:space="0" w:color="auto"/>
            <w:right w:val="none" w:sz="0" w:space="0" w:color="auto"/>
          </w:divBdr>
        </w:div>
        <w:div w:id="976034882">
          <w:marLeft w:val="0"/>
          <w:marRight w:val="0"/>
          <w:marTop w:val="0"/>
          <w:marBottom w:val="0"/>
          <w:divBdr>
            <w:top w:val="none" w:sz="0" w:space="0" w:color="auto"/>
            <w:left w:val="none" w:sz="0" w:space="0" w:color="auto"/>
            <w:bottom w:val="none" w:sz="0" w:space="0" w:color="auto"/>
            <w:right w:val="none" w:sz="0" w:space="0" w:color="auto"/>
          </w:divBdr>
        </w:div>
        <w:div w:id="521480968">
          <w:marLeft w:val="0"/>
          <w:marRight w:val="0"/>
          <w:marTop w:val="0"/>
          <w:marBottom w:val="0"/>
          <w:divBdr>
            <w:top w:val="none" w:sz="0" w:space="0" w:color="auto"/>
            <w:left w:val="none" w:sz="0" w:space="0" w:color="auto"/>
            <w:bottom w:val="none" w:sz="0" w:space="0" w:color="auto"/>
            <w:right w:val="none" w:sz="0" w:space="0" w:color="auto"/>
          </w:divBdr>
        </w:div>
        <w:div w:id="1625959622">
          <w:marLeft w:val="0"/>
          <w:marRight w:val="0"/>
          <w:marTop w:val="0"/>
          <w:marBottom w:val="0"/>
          <w:divBdr>
            <w:top w:val="none" w:sz="0" w:space="0" w:color="auto"/>
            <w:left w:val="none" w:sz="0" w:space="0" w:color="auto"/>
            <w:bottom w:val="none" w:sz="0" w:space="0" w:color="auto"/>
            <w:right w:val="none" w:sz="0" w:space="0" w:color="auto"/>
          </w:divBdr>
        </w:div>
        <w:div w:id="1049452067">
          <w:marLeft w:val="0"/>
          <w:marRight w:val="0"/>
          <w:marTop w:val="0"/>
          <w:marBottom w:val="0"/>
          <w:divBdr>
            <w:top w:val="none" w:sz="0" w:space="0" w:color="auto"/>
            <w:left w:val="none" w:sz="0" w:space="0" w:color="auto"/>
            <w:bottom w:val="none" w:sz="0" w:space="0" w:color="auto"/>
            <w:right w:val="none" w:sz="0" w:space="0" w:color="auto"/>
          </w:divBdr>
        </w:div>
        <w:div w:id="2071415719">
          <w:marLeft w:val="0"/>
          <w:marRight w:val="0"/>
          <w:marTop w:val="0"/>
          <w:marBottom w:val="0"/>
          <w:divBdr>
            <w:top w:val="none" w:sz="0" w:space="0" w:color="auto"/>
            <w:left w:val="none" w:sz="0" w:space="0" w:color="auto"/>
            <w:bottom w:val="none" w:sz="0" w:space="0" w:color="auto"/>
            <w:right w:val="none" w:sz="0" w:space="0" w:color="auto"/>
          </w:divBdr>
        </w:div>
        <w:div w:id="1582367188">
          <w:marLeft w:val="0"/>
          <w:marRight w:val="0"/>
          <w:marTop w:val="0"/>
          <w:marBottom w:val="0"/>
          <w:divBdr>
            <w:top w:val="none" w:sz="0" w:space="0" w:color="auto"/>
            <w:left w:val="none" w:sz="0" w:space="0" w:color="auto"/>
            <w:bottom w:val="none" w:sz="0" w:space="0" w:color="auto"/>
            <w:right w:val="none" w:sz="0" w:space="0" w:color="auto"/>
          </w:divBdr>
        </w:div>
        <w:div w:id="721710399">
          <w:marLeft w:val="0"/>
          <w:marRight w:val="0"/>
          <w:marTop w:val="0"/>
          <w:marBottom w:val="0"/>
          <w:divBdr>
            <w:top w:val="none" w:sz="0" w:space="0" w:color="auto"/>
            <w:left w:val="none" w:sz="0" w:space="0" w:color="auto"/>
            <w:bottom w:val="none" w:sz="0" w:space="0" w:color="auto"/>
            <w:right w:val="none" w:sz="0" w:space="0" w:color="auto"/>
          </w:divBdr>
        </w:div>
        <w:div w:id="1120998406">
          <w:marLeft w:val="0"/>
          <w:marRight w:val="0"/>
          <w:marTop w:val="0"/>
          <w:marBottom w:val="0"/>
          <w:divBdr>
            <w:top w:val="none" w:sz="0" w:space="0" w:color="auto"/>
            <w:left w:val="none" w:sz="0" w:space="0" w:color="auto"/>
            <w:bottom w:val="none" w:sz="0" w:space="0" w:color="auto"/>
            <w:right w:val="none" w:sz="0" w:space="0" w:color="auto"/>
          </w:divBdr>
        </w:div>
        <w:div w:id="725834631">
          <w:marLeft w:val="0"/>
          <w:marRight w:val="0"/>
          <w:marTop w:val="0"/>
          <w:marBottom w:val="0"/>
          <w:divBdr>
            <w:top w:val="none" w:sz="0" w:space="0" w:color="auto"/>
            <w:left w:val="none" w:sz="0" w:space="0" w:color="auto"/>
            <w:bottom w:val="none" w:sz="0" w:space="0" w:color="auto"/>
            <w:right w:val="none" w:sz="0" w:space="0" w:color="auto"/>
          </w:divBdr>
        </w:div>
        <w:div w:id="2090999096">
          <w:marLeft w:val="0"/>
          <w:marRight w:val="0"/>
          <w:marTop w:val="0"/>
          <w:marBottom w:val="0"/>
          <w:divBdr>
            <w:top w:val="none" w:sz="0" w:space="0" w:color="auto"/>
            <w:left w:val="none" w:sz="0" w:space="0" w:color="auto"/>
            <w:bottom w:val="none" w:sz="0" w:space="0" w:color="auto"/>
            <w:right w:val="none" w:sz="0" w:space="0" w:color="auto"/>
          </w:divBdr>
        </w:div>
        <w:div w:id="148130913">
          <w:marLeft w:val="0"/>
          <w:marRight w:val="0"/>
          <w:marTop w:val="0"/>
          <w:marBottom w:val="0"/>
          <w:divBdr>
            <w:top w:val="none" w:sz="0" w:space="0" w:color="auto"/>
            <w:left w:val="none" w:sz="0" w:space="0" w:color="auto"/>
            <w:bottom w:val="none" w:sz="0" w:space="0" w:color="auto"/>
            <w:right w:val="none" w:sz="0" w:space="0" w:color="auto"/>
          </w:divBdr>
        </w:div>
        <w:div w:id="971327648">
          <w:marLeft w:val="0"/>
          <w:marRight w:val="0"/>
          <w:marTop w:val="0"/>
          <w:marBottom w:val="0"/>
          <w:divBdr>
            <w:top w:val="none" w:sz="0" w:space="0" w:color="auto"/>
            <w:left w:val="none" w:sz="0" w:space="0" w:color="auto"/>
            <w:bottom w:val="none" w:sz="0" w:space="0" w:color="auto"/>
            <w:right w:val="none" w:sz="0" w:space="0" w:color="auto"/>
          </w:divBdr>
        </w:div>
        <w:div w:id="1055474267">
          <w:marLeft w:val="0"/>
          <w:marRight w:val="0"/>
          <w:marTop w:val="0"/>
          <w:marBottom w:val="0"/>
          <w:divBdr>
            <w:top w:val="none" w:sz="0" w:space="0" w:color="auto"/>
            <w:left w:val="none" w:sz="0" w:space="0" w:color="auto"/>
            <w:bottom w:val="none" w:sz="0" w:space="0" w:color="auto"/>
            <w:right w:val="none" w:sz="0" w:space="0" w:color="auto"/>
          </w:divBdr>
        </w:div>
        <w:div w:id="1141926030">
          <w:marLeft w:val="0"/>
          <w:marRight w:val="0"/>
          <w:marTop w:val="0"/>
          <w:marBottom w:val="0"/>
          <w:divBdr>
            <w:top w:val="none" w:sz="0" w:space="0" w:color="auto"/>
            <w:left w:val="none" w:sz="0" w:space="0" w:color="auto"/>
            <w:bottom w:val="none" w:sz="0" w:space="0" w:color="auto"/>
            <w:right w:val="none" w:sz="0" w:space="0" w:color="auto"/>
          </w:divBdr>
        </w:div>
        <w:div w:id="709913012">
          <w:marLeft w:val="0"/>
          <w:marRight w:val="0"/>
          <w:marTop w:val="0"/>
          <w:marBottom w:val="0"/>
          <w:divBdr>
            <w:top w:val="none" w:sz="0" w:space="0" w:color="auto"/>
            <w:left w:val="none" w:sz="0" w:space="0" w:color="auto"/>
            <w:bottom w:val="none" w:sz="0" w:space="0" w:color="auto"/>
            <w:right w:val="none" w:sz="0" w:space="0" w:color="auto"/>
          </w:divBdr>
        </w:div>
        <w:div w:id="1072436553">
          <w:marLeft w:val="0"/>
          <w:marRight w:val="0"/>
          <w:marTop w:val="0"/>
          <w:marBottom w:val="0"/>
          <w:divBdr>
            <w:top w:val="none" w:sz="0" w:space="0" w:color="auto"/>
            <w:left w:val="none" w:sz="0" w:space="0" w:color="auto"/>
            <w:bottom w:val="none" w:sz="0" w:space="0" w:color="auto"/>
            <w:right w:val="none" w:sz="0" w:space="0" w:color="auto"/>
          </w:divBdr>
        </w:div>
        <w:div w:id="329256394">
          <w:marLeft w:val="0"/>
          <w:marRight w:val="0"/>
          <w:marTop w:val="0"/>
          <w:marBottom w:val="0"/>
          <w:divBdr>
            <w:top w:val="none" w:sz="0" w:space="0" w:color="auto"/>
            <w:left w:val="none" w:sz="0" w:space="0" w:color="auto"/>
            <w:bottom w:val="none" w:sz="0" w:space="0" w:color="auto"/>
            <w:right w:val="none" w:sz="0" w:space="0" w:color="auto"/>
          </w:divBdr>
        </w:div>
        <w:div w:id="121971992">
          <w:marLeft w:val="0"/>
          <w:marRight w:val="0"/>
          <w:marTop w:val="0"/>
          <w:marBottom w:val="0"/>
          <w:divBdr>
            <w:top w:val="none" w:sz="0" w:space="0" w:color="auto"/>
            <w:left w:val="none" w:sz="0" w:space="0" w:color="auto"/>
            <w:bottom w:val="none" w:sz="0" w:space="0" w:color="auto"/>
            <w:right w:val="none" w:sz="0" w:space="0" w:color="auto"/>
          </w:divBdr>
        </w:div>
        <w:div w:id="579872301">
          <w:marLeft w:val="0"/>
          <w:marRight w:val="0"/>
          <w:marTop w:val="0"/>
          <w:marBottom w:val="0"/>
          <w:divBdr>
            <w:top w:val="none" w:sz="0" w:space="0" w:color="auto"/>
            <w:left w:val="none" w:sz="0" w:space="0" w:color="auto"/>
            <w:bottom w:val="none" w:sz="0" w:space="0" w:color="auto"/>
            <w:right w:val="none" w:sz="0" w:space="0" w:color="auto"/>
          </w:divBdr>
        </w:div>
        <w:div w:id="341713258">
          <w:marLeft w:val="0"/>
          <w:marRight w:val="0"/>
          <w:marTop w:val="0"/>
          <w:marBottom w:val="0"/>
          <w:divBdr>
            <w:top w:val="none" w:sz="0" w:space="0" w:color="auto"/>
            <w:left w:val="none" w:sz="0" w:space="0" w:color="auto"/>
            <w:bottom w:val="none" w:sz="0" w:space="0" w:color="auto"/>
            <w:right w:val="none" w:sz="0" w:space="0" w:color="auto"/>
          </w:divBdr>
        </w:div>
        <w:div w:id="1684670699">
          <w:marLeft w:val="0"/>
          <w:marRight w:val="0"/>
          <w:marTop w:val="0"/>
          <w:marBottom w:val="0"/>
          <w:divBdr>
            <w:top w:val="none" w:sz="0" w:space="0" w:color="auto"/>
            <w:left w:val="none" w:sz="0" w:space="0" w:color="auto"/>
            <w:bottom w:val="none" w:sz="0" w:space="0" w:color="auto"/>
            <w:right w:val="none" w:sz="0" w:space="0" w:color="auto"/>
          </w:divBdr>
        </w:div>
        <w:div w:id="522986103">
          <w:marLeft w:val="0"/>
          <w:marRight w:val="0"/>
          <w:marTop w:val="0"/>
          <w:marBottom w:val="0"/>
          <w:divBdr>
            <w:top w:val="none" w:sz="0" w:space="0" w:color="auto"/>
            <w:left w:val="none" w:sz="0" w:space="0" w:color="auto"/>
            <w:bottom w:val="none" w:sz="0" w:space="0" w:color="auto"/>
            <w:right w:val="none" w:sz="0" w:space="0" w:color="auto"/>
          </w:divBdr>
        </w:div>
        <w:div w:id="864755314">
          <w:marLeft w:val="0"/>
          <w:marRight w:val="0"/>
          <w:marTop w:val="0"/>
          <w:marBottom w:val="0"/>
          <w:divBdr>
            <w:top w:val="none" w:sz="0" w:space="0" w:color="auto"/>
            <w:left w:val="none" w:sz="0" w:space="0" w:color="auto"/>
            <w:bottom w:val="none" w:sz="0" w:space="0" w:color="auto"/>
            <w:right w:val="none" w:sz="0" w:space="0" w:color="auto"/>
          </w:divBdr>
        </w:div>
        <w:div w:id="271741192">
          <w:marLeft w:val="0"/>
          <w:marRight w:val="0"/>
          <w:marTop w:val="0"/>
          <w:marBottom w:val="0"/>
          <w:divBdr>
            <w:top w:val="none" w:sz="0" w:space="0" w:color="auto"/>
            <w:left w:val="none" w:sz="0" w:space="0" w:color="auto"/>
            <w:bottom w:val="none" w:sz="0" w:space="0" w:color="auto"/>
            <w:right w:val="none" w:sz="0" w:space="0" w:color="auto"/>
          </w:divBdr>
        </w:div>
        <w:div w:id="1676372664">
          <w:marLeft w:val="0"/>
          <w:marRight w:val="0"/>
          <w:marTop w:val="0"/>
          <w:marBottom w:val="0"/>
          <w:divBdr>
            <w:top w:val="none" w:sz="0" w:space="0" w:color="auto"/>
            <w:left w:val="none" w:sz="0" w:space="0" w:color="auto"/>
            <w:bottom w:val="none" w:sz="0" w:space="0" w:color="auto"/>
            <w:right w:val="none" w:sz="0" w:space="0" w:color="auto"/>
          </w:divBdr>
        </w:div>
        <w:div w:id="920527053">
          <w:marLeft w:val="0"/>
          <w:marRight w:val="0"/>
          <w:marTop w:val="0"/>
          <w:marBottom w:val="0"/>
          <w:divBdr>
            <w:top w:val="none" w:sz="0" w:space="0" w:color="auto"/>
            <w:left w:val="none" w:sz="0" w:space="0" w:color="auto"/>
            <w:bottom w:val="none" w:sz="0" w:space="0" w:color="auto"/>
            <w:right w:val="none" w:sz="0" w:space="0" w:color="auto"/>
          </w:divBdr>
        </w:div>
        <w:div w:id="1781753726">
          <w:marLeft w:val="0"/>
          <w:marRight w:val="0"/>
          <w:marTop w:val="0"/>
          <w:marBottom w:val="0"/>
          <w:divBdr>
            <w:top w:val="none" w:sz="0" w:space="0" w:color="auto"/>
            <w:left w:val="none" w:sz="0" w:space="0" w:color="auto"/>
            <w:bottom w:val="none" w:sz="0" w:space="0" w:color="auto"/>
            <w:right w:val="none" w:sz="0" w:space="0" w:color="auto"/>
          </w:divBdr>
        </w:div>
        <w:div w:id="1891722551">
          <w:marLeft w:val="0"/>
          <w:marRight w:val="0"/>
          <w:marTop w:val="0"/>
          <w:marBottom w:val="0"/>
          <w:divBdr>
            <w:top w:val="none" w:sz="0" w:space="0" w:color="auto"/>
            <w:left w:val="none" w:sz="0" w:space="0" w:color="auto"/>
            <w:bottom w:val="none" w:sz="0" w:space="0" w:color="auto"/>
            <w:right w:val="none" w:sz="0" w:space="0" w:color="auto"/>
          </w:divBdr>
        </w:div>
        <w:div w:id="194470548">
          <w:marLeft w:val="0"/>
          <w:marRight w:val="0"/>
          <w:marTop w:val="0"/>
          <w:marBottom w:val="0"/>
          <w:divBdr>
            <w:top w:val="none" w:sz="0" w:space="0" w:color="auto"/>
            <w:left w:val="none" w:sz="0" w:space="0" w:color="auto"/>
            <w:bottom w:val="none" w:sz="0" w:space="0" w:color="auto"/>
            <w:right w:val="none" w:sz="0" w:space="0" w:color="auto"/>
          </w:divBdr>
        </w:div>
        <w:div w:id="1597246739">
          <w:marLeft w:val="0"/>
          <w:marRight w:val="0"/>
          <w:marTop w:val="0"/>
          <w:marBottom w:val="0"/>
          <w:divBdr>
            <w:top w:val="none" w:sz="0" w:space="0" w:color="auto"/>
            <w:left w:val="none" w:sz="0" w:space="0" w:color="auto"/>
            <w:bottom w:val="none" w:sz="0" w:space="0" w:color="auto"/>
            <w:right w:val="none" w:sz="0" w:space="0" w:color="auto"/>
          </w:divBdr>
        </w:div>
        <w:div w:id="775296932">
          <w:marLeft w:val="0"/>
          <w:marRight w:val="0"/>
          <w:marTop w:val="0"/>
          <w:marBottom w:val="0"/>
          <w:divBdr>
            <w:top w:val="none" w:sz="0" w:space="0" w:color="auto"/>
            <w:left w:val="none" w:sz="0" w:space="0" w:color="auto"/>
            <w:bottom w:val="none" w:sz="0" w:space="0" w:color="auto"/>
            <w:right w:val="none" w:sz="0" w:space="0" w:color="auto"/>
          </w:divBdr>
        </w:div>
        <w:div w:id="148058679">
          <w:marLeft w:val="0"/>
          <w:marRight w:val="0"/>
          <w:marTop w:val="0"/>
          <w:marBottom w:val="0"/>
          <w:divBdr>
            <w:top w:val="none" w:sz="0" w:space="0" w:color="auto"/>
            <w:left w:val="none" w:sz="0" w:space="0" w:color="auto"/>
            <w:bottom w:val="none" w:sz="0" w:space="0" w:color="auto"/>
            <w:right w:val="none" w:sz="0" w:space="0" w:color="auto"/>
          </w:divBdr>
        </w:div>
        <w:div w:id="1828282125">
          <w:marLeft w:val="0"/>
          <w:marRight w:val="0"/>
          <w:marTop w:val="0"/>
          <w:marBottom w:val="0"/>
          <w:divBdr>
            <w:top w:val="none" w:sz="0" w:space="0" w:color="auto"/>
            <w:left w:val="none" w:sz="0" w:space="0" w:color="auto"/>
            <w:bottom w:val="none" w:sz="0" w:space="0" w:color="auto"/>
            <w:right w:val="none" w:sz="0" w:space="0" w:color="auto"/>
          </w:divBdr>
        </w:div>
        <w:div w:id="641428093">
          <w:marLeft w:val="0"/>
          <w:marRight w:val="0"/>
          <w:marTop w:val="0"/>
          <w:marBottom w:val="0"/>
          <w:divBdr>
            <w:top w:val="none" w:sz="0" w:space="0" w:color="auto"/>
            <w:left w:val="none" w:sz="0" w:space="0" w:color="auto"/>
            <w:bottom w:val="none" w:sz="0" w:space="0" w:color="auto"/>
            <w:right w:val="none" w:sz="0" w:space="0" w:color="auto"/>
          </w:divBdr>
        </w:div>
        <w:div w:id="1696928396">
          <w:marLeft w:val="0"/>
          <w:marRight w:val="0"/>
          <w:marTop w:val="0"/>
          <w:marBottom w:val="0"/>
          <w:divBdr>
            <w:top w:val="none" w:sz="0" w:space="0" w:color="auto"/>
            <w:left w:val="none" w:sz="0" w:space="0" w:color="auto"/>
            <w:bottom w:val="none" w:sz="0" w:space="0" w:color="auto"/>
            <w:right w:val="none" w:sz="0" w:space="0" w:color="auto"/>
          </w:divBdr>
        </w:div>
        <w:div w:id="470445959">
          <w:marLeft w:val="0"/>
          <w:marRight w:val="0"/>
          <w:marTop w:val="0"/>
          <w:marBottom w:val="0"/>
          <w:divBdr>
            <w:top w:val="none" w:sz="0" w:space="0" w:color="auto"/>
            <w:left w:val="none" w:sz="0" w:space="0" w:color="auto"/>
            <w:bottom w:val="none" w:sz="0" w:space="0" w:color="auto"/>
            <w:right w:val="none" w:sz="0" w:space="0" w:color="auto"/>
          </w:divBdr>
        </w:div>
        <w:div w:id="841700921">
          <w:marLeft w:val="0"/>
          <w:marRight w:val="0"/>
          <w:marTop w:val="0"/>
          <w:marBottom w:val="0"/>
          <w:divBdr>
            <w:top w:val="none" w:sz="0" w:space="0" w:color="auto"/>
            <w:left w:val="none" w:sz="0" w:space="0" w:color="auto"/>
            <w:bottom w:val="none" w:sz="0" w:space="0" w:color="auto"/>
            <w:right w:val="none" w:sz="0" w:space="0" w:color="auto"/>
          </w:divBdr>
        </w:div>
        <w:div w:id="1967422260">
          <w:marLeft w:val="0"/>
          <w:marRight w:val="0"/>
          <w:marTop w:val="0"/>
          <w:marBottom w:val="0"/>
          <w:divBdr>
            <w:top w:val="none" w:sz="0" w:space="0" w:color="auto"/>
            <w:left w:val="none" w:sz="0" w:space="0" w:color="auto"/>
            <w:bottom w:val="none" w:sz="0" w:space="0" w:color="auto"/>
            <w:right w:val="none" w:sz="0" w:space="0" w:color="auto"/>
          </w:divBdr>
        </w:div>
        <w:div w:id="664747707">
          <w:marLeft w:val="0"/>
          <w:marRight w:val="0"/>
          <w:marTop w:val="0"/>
          <w:marBottom w:val="0"/>
          <w:divBdr>
            <w:top w:val="none" w:sz="0" w:space="0" w:color="auto"/>
            <w:left w:val="none" w:sz="0" w:space="0" w:color="auto"/>
            <w:bottom w:val="none" w:sz="0" w:space="0" w:color="auto"/>
            <w:right w:val="none" w:sz="0" w:space="0" w:color="auto"/>
          </w:divBdr>
        </w:div>
        <w:div w:id="488402977">
          <w:marLeft w:val="0"/>
          <w:marRight w:val="0"/>
          <w:marTop w:val="0"/>
          <w:marBottom w:val="0"/>
          <w:divBdr>
            <w:top w:val="none" w:sz="0" w:space="0" w:color="auto"/>
            <w:left w:val="none" w:sz="0" w:space="0" w:color="auto"/>
            <w:bottom w:val="none" w:sz="0" w:space="0" w:color="auto"/>
            <w:right w:val="none" w:sz="0" w:space="0" w:color="auto"/>
          </w:divBdr>
        </w:div>
        <w:div w:id="1274049392">
          <w:marLeft w:val="0"/>
          <w:marRight w:val="0"/>
          <w:marTop w:val="0"/>
          <w:marBottom w:val="0"/>
          <w:divBdr>
            <w:top w:val="none" w:sz="0" w:space="0" w:color="auto"/>
            <w:left w:val="none" w:sz="0" w:space="0" w:color="auto"/>
            <w:bottom w:val="none" w:sz="0" w:space="0" w:color="auto"/>
            <w:right w:val="none" w:sz="0" w:space="0" w:color="auto"/>
          </w:divBdr>
        </w:div>
        <w:div w:id="1040711756">
          <w:marLeft w:val="0"/>
          <w:marRight w:val="0"/>
          <w:marTop w:val="0"/>
          <w:marBottom w:val="0"/>
          <w:divBdr>
            <w:top w:val="none" w:sz="0" w:space="0" w:color="auto"/>
            <w:left w:val="none" w:sz="0" w:space="0" w:color="auto"/>
            <w:bottom w:val="none" w:sz="0" w:space="0" w:color="auto"/>
            <w:right w:val="none" w:sz="0" w:space="0" w:color="auto"/>
          </w:divBdr>
        </w:div>
        <w:div w:id="1515025117">
          <w:marLeft w:val="0"/>
          <w:marRight w:val="0"/>
          <w:marTop w:val="0"/>
          <w:marBottom w:val="0"/>
          <w:divBdr>
            <w:top w:val="none" w:sz="0" w:space="0" w:color="auto"/>
            <w:left w:val="none" w:sz="0" w:space="0" w:color="auto"/>
            <w:bottom w:val="none" w:sz="0" w:space="0" w:color="auto"/>
            <w:right w:val="none" w:sz="0" w:space="0" w:color="auto"/>
          </w:divBdr>
        </w:div>
        <w:div w:id="1107430594">
          <w:marLeft w:val="0"/>
          <w:marRight w:val="0"/>
          <w:marTop w:val="0"/>
          <w:marBottom w:val="0"/>
          <w:divBdr>
            <w:top w:val="none" w:sz="0" w:space="0" w:color="auto"/>
            <w:left w:val="none" w:sz="0" w:space="0" w:color="auto"/>
            <w:bottom w:val="none" w:sz="0" w:space="0" w:color="auto"/>
            <w:right w:val="none" w:sz="0" w:space="0" w:color="auto"/>
          </w:divBdr>
        </w:div>
        <w:div w:id="23989006">
          <w:marLeft w:val="0"/>
          <w:marRight w:val="0"/>
          <w:marTop w:val="0"/>
          <w:marBottom w:val="0"/>
          <w:divBdr>
            <w:top w:val="none" w:sz="0" w:space="0" w:color="auto"/>
            <w:left w:val="none" w:sz="0" w:space="0" w:color="auto"/>
            <w:bottom w:val="none" w:sz="0" w:space="0" w:color="auto"/>
            <w:right w:val="none" w:sz="0" w:space="0" w:color="auto"/>
          </w:divBdr>
        </w:div>
        <w:div w:id="818957445">
          <w:marLeft w:val="0"/>
          <w:marRight w:val="0"/>
          <w:marTop w:val="0"/>
          <w:marBottom w:val="0"/>
          <w:divBdr>
            <w:top w:val="none" w:sz="0" w:space="0" w:color="auto"/>
            <w:left w:val="none" w:sz="0" w:space="0" w:color="auto"/>
            <w:bottom w:val="none" w:sz="0" w:space="0" w:color="auto"/>
            <w:right w:val="none" w:sz="0" w:space="0" w:color="auto"/>
          </w:divBdr>
        </w:div>
        <w:div w:id="475270044">
          <w:marLeft w:val="0"/>
          <w:marRight w:val="0"/>
          <w:marTop w:val="0"/>
          <w:marBottom w:val="0"/>
          <w:divBdr>
            <w:top w:val="none" w:sz="0" w:space="0" w:color="auto"/>
            <w:left w:val="none" w:sz="0" w:space="0" w:color="auto"/>
            <w:bottom w:val="none" w:sz="0" w:space="0" w:color="auto"/>
            <w:right w:val="none" w:sz="0" w:space="0" w:color="auto"/>
          </w:divBdr>
        </w:div>
        <w:div w:id="1693458730">
          <w:marLeft w:val="0"/>
          <w:marRight w:val="0"/>
          <w:marTop w:val="0"/>
          <w:marBottom w:val="0"/>
          <w:divBdr>
            <w:top w:val="none" w:sz="0" w:space="0" w:color="auto"/>
            <w:left w:val="none" w:sz="0" w:space="0" w:color="auto"/>
            <w:bottom w:val="none" w:sz="0" w:space="0" w:color="auto"/>
            <w:right w:val="none" w:sz="0" w:space="0" w:color="auto"/>
          </w:divBdr>
        </w:div>
        <w:div w:id="1481119125">
          <w:marLeft w:val="0"/>
          <w:marRight w:val="0"/>
          <w:marTop w:val="0"/>
          <w:marBottom w:val="0"/>
          <w:divBdr>
            <w:top w:val="none" w:sz="0" w:space="0" w:color="auto"/>
            <w:left w:val="none" w:sz="0" w:space="0" w:color="auto"/>
            <w:bottom w:val="none" w:sz="0" w:space="0" w:color="auto"/>
            <w:right w:val="none" w:sz="0" w:space="0" w:color="auto"/>
          </w:divBdr>
        </w:div>
        <w:div w:id="1895267563">
          <w:marLeft w:val="0"/>
          <w:marRight w:val="0"/>
          <w:marTop w:val="0"/>
          <w:marBottom w:val="0"/>
          <w:divBdr>
            <w:top w:val="none" w:sz="0" w:space="0" w:color="auto"/>
            <w:left w:val="none" w:sz="0" w:space="0" w:color="auto"/>
            <w:bottom w:val="none" w:sz="0" w:space="0" w:color="auto"/>
            <w:right w:val="none" w:sz="0" w:space="0" w:color="auto"/>
          </w:divBdr>
        </w:div>
      </w:divsChild>
    </w:div>
    <w:div w:id="1951737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988</Words>
  <Characters>5633</Characters>
  <Application>Microsoft Office Word</Application>
  <DocSecurity>0</DocSecurity>
  <Lines>46</Lines>
  <Paragraphs>13</Paragraphs>
  <ScaleCrop>false</ScaleCrop>
  <Company/>
  <LinksUpToDate>false</LinksUpToDate>
  <CharactersWithSpaces>6608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2015-12-09T08:18:00Z</dcterms:created>
  <dcterms:modified xsi:type="dcterms:W3CDTF">2015-12-09T08:22:00Z</dcterms:modified>
</cp:coreProperties>
</file>