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6C" w:rsidRPr="0084686C" w:rsidRDefault="0084686C" w:rsidP="0084686C">
      <w:pPr>
        <w:widowControl/>
        <w:shd w:val="clear" w:color="auto" w:fill="FFFFFF"/>
        <w:wordWrap w:val="0"/>
        <w:spacing w:before="100" w:beforeAutospacing="1" w:after="100" w:afterAutospacing="1"/>
        <w:jc w:val="center"/>
        <w:outlineLvl w:val="0"/>
        <w:rPr>
          <w:rFonts w:asciiTheme="minorEastAsia" w:hAnsiTheme="minorEastAsia" w:cs="宋体"/>
          <w:color w:val="333333"/>
          <w:kern w:val="36"/>
          <w:sz w:val="24"/>
          <w:szCs w:val="24"/>
        </w:rPr>
      </w:pPr>
      <w:r w:rsidRPr="0084686C">
        <w:rPr>
          <w:rFonts w:asciiTheme="minorEastAsia" w:hAnsiTheme="minorEastAsia" w:cs="宋体" w:hint="eastAsia"/>
          <w:color w:val="333333"/>
          <w:kern w:val="36"/>
          <w:sz w:val="24"/>
          <w:szCs w:val="24"/>
        </w:rPr>
        <w:t>食品中农药残留风险评估指南</w:t>
      </w:r>
      <w:proofErr w:type="gramStart"/>
      <w:r w:rsidRPr="0084686C">
        <w:rPr>
          <w:rFonts w:asciiTheme="minorEastAsia" w:hAnsiTheme="minorEastAsia" w:cs="宋体" w:hint="eastAsia"/>
          <w:color w:val="333333"/>
          <w:kern w:val="36"/>
          <w:sz w:val="24"/>
          <w:szCs w:val="24"/>
        </w:rPr>
        <w:t>》</w:t>
      </w:r>
      <w:proofErr w:type="gramEnd"/>
      <w:r w:rsidRPr="0084686C">
        <w:rPr>
          <w:rFonts w:asciiTheme="minorEastAsia" w:hAnsiTheme="minorEastAsia" w:cs="宋体" w:hint="eastAsia"/>
          <w:color w:val="333333"/>
          <w:kern w:val="36"/>
          <w:sz w:val="24"/>
          <w:szCs w:val="24"/>
        </w:rPr>
        <w:t>和《食品中农药最大残留限量制定指南》(中华人民共和国农业部公告第2308号)</w:t>
      </w:r>
    </w:p>
    <w:p w:rsidR="00767BE3" w:rsidRPr="0084686C" w:rsidRDefault="00767BE3">
      <w:pPr>
        <w:rPr>
          <w:rFonts w:asciiTheme="minorEastAsia" w:hAnsiTheme="minorEastAsia" w:hint="eastAsia"/>
          <w:sz w:val="24"/>
          <w:szCs w:val="24"/>
        </w:rPr>
      </w:pP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为规范食品中农药残留限量标准制定的程序和技术要求，确保农药残留标准制定的科学性，根据《中华人民共和国食品安全法》《中华人民共和国农产品质量安全法》和《农药管理条例》有关规定，我部制定了《食品中农药残留风险评估指南》和《食品中农药最大残留限量制定指南》，经第一届国家农药残留标准审评委员会第十二次会议审议通过，现予发布施行。</w:t>
      </w:r>
    </w:p>
    <w:p w:rsidR="0084686C" w:rsidRPr="0084686C" w:rsidRDefault="0084686C" w:rsidP="0084686C">
      <w:pPr>
        <w:rPr>
          <w:rFonts w:asciiTheme="minorEastAsia" w:hAnsiTheme="minorEastAsia"/>
          <w:sz w:val="24"/>
          <w:szCs w:val="24"/>
        </w:rPr>
      </w:pPr>
      <w:r w:rsidRPr="0084686C">
        <w:rPr>
          <w:rFonts w:asciiTheme="minorEastAsia" w:hAnsiTheme="minorEastAsia"/>
          <w:sz w:val="24"/>
          <w:szCs w:val="24"/>
        </w:rPr>
        <w:t xml:space="preserve"> </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农业部</w:t>
      </w:r>
    </w:p>
    <w:p w:rsidR="0084686C" w:rsidRPr="0084686C" w:rsidRDefault="0084686C" w:rsidP="0084686C">
      <w:pPr>
        <w:rPr>
          <w:rFonts w:asciiTheme="minorEastAsia" w:hAnsiTheme="minorEastAsia"/>
          <w:sz w:val="24"/>
          <w:szCs w:val="24"/>
        </w:rPr>
      </w:pPr>
      <w:r w:rsidRPr="0084686C">
        <w:rPr>
          <w:rFonts w:asciiTheme="minorEastAsia" w:hAnsiTheme="minorEastAsia"/>
          <w:sz w:val="24"/>
          <w:szCs w:val="24"/>
        </w:rPr>
        <w:t xml:space="preserve"> </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2015年10月8日</w:t>
      </w:r>
    </w:p>
    <w:p w:rsidR="0084686C" w:rsidRPr="0084686C" w:rsidRDefault="0084686C" w:rsidP="0084686C">
      <w:pPr>
        <w:rPr>
          <w:rFonts w:asciiTheme="minorEastAsia" w:hAnsiTheme="minorEastAsia"/>
          <w:sz w:val="24"/>
          <w:szCs w:val="24"/>
        </w:rPr>
      </w:pPr>
      <w:r w:rsidRPr="0084686C">
        <w:rPr>
          <w:rFonts w:asciiTheme="minorEastAsia" w:hAnsiTheme="minorEastAsia"/>
          <w:sz w:val="24"/>
          <w:szCs w:val="24"/>
        </w:rPr>
        <w:t xml:space="preserve"> </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食品中农药残留风险评估指南</w:t>
      </w:r>
    </w:p>
    <w:p w:rsidR="0084686C" w:rsidRPr="0084686C" w:rsidRDefault="0084686C" w:rsidP="0084686C">
      <w:pPr>
        <w:rPr>
          <w:rFonts w:asciiTheme="minorEastAsia" w:hAnsiTheme="minorEastAsia"/>
          <w:sz w:val="24"/>
          <w:szCs w:val="24"/>
        </w:rPr>
      </w:pPr>
      <w:r w:rsidRPr="0084686C">
        <w:rPr>
          <w:rFonts w:asciiTheme="minorEastAsia" w:hAnsiTheme="minorEastAsia"/>
          <w:sz w:val="24"/>
          <w:szCs w:val="24"/>
        </w:rPr>
        <w:t xml:space="preserve"> </w:t>
      </w:r>
    </w:p>
    <w:p w:rsidR="00D56D76" w:rsidRDefault="0084686C" w:rsidP="00D56D76">
      <w:pPr>
        <w:ind w:firstLine="480"/>
        <w:rPr>
          <w:rFonts w:asciiTheme="minorEastAsia" w:hAnsiTheme="minorEastAsia" w:hint="eastAsia"/>
          <w:sz w:val="24"/>
          <w:szCs w:val="24"/>
        </w:rPr>
      </w:pPr>
      <w:r w:rsidRPr="0084686C">
        <w:rPr>
          <w:rFonts w:asciiTheme="minorEastAsia" w:hAnsiTheme="minorEastAsia" w:hint="eastAsia"/>
          <w:sz w:val="24"/>
          <w:szCs w:val="24"/>
        </w:rPr>
        <w:t>为确保农业生产安全、食品（包括食用农产品）质量安全，促进食品公平贸易，依据《中华人民共和国食品安全法》《中华人民共和国农产品质量安全法》《农药管理条例》《农药登记资料规定》，特制定本指南。</w:t>
      </w:r>
    </w:p>
    <w:p w:rsidR="0084686C" w:rsidRPr="0084686C" w:rsidRDefault="0084686C" w:rsidP="00D56D76">
      <w:pPr>
        <w:ind w:firstLine="480"/>
        <w:rPr>
          <w:rFonts w:asciiTheme="minorEastAsia" w:hAnsiTheme="minorEastAsia" w:hint="eastAsia"/>
          <w:sz w:val="24"/>
          <w:szCs w:val="24"/>
        </w:rPr>
      </w:pPr>
      <w:r w:rsidRPr="0084686C">
        <w:rPr>
          <w:rFonts w:asciiTheme="minorEastAsia" w:hAnsiTheme="minorEastAsia" w:hint="eastAsia"/>
          <w:sz w:val="24"/>
          <w:szCs w:val="24"/>
        </w:rPr>
        <w:t>食品（包括食用农产品）中农药残留风险评估是指通过分析农药毒理学和残留化学试验结果，根据消费者膳食结构，对因膳食摄入农药残留产生健康风险的可能性及程度进行科学评价。</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本指南用于指导我国食品中农药残留风险评估。</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一、毒理学评估</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农药毒理学评估是对农药的危害进行识别，并对其危害特征进行描述。通过评价毒物代谢动力学试验和毒理学试验结果，推荐出每日允许摄入量（ADI）和/或急性参考剂量（</w:t>
      </w:r>
      <w:proofErr w:type="spellStart"/>
      <w:r w:rsidRPr="0084686C">
        <w:rPr>
          <w:rFonts w:asciiTheme="minorEastAsia" w:hAnsiTheme="minorEastAsia" w:hint="eastAsia"/>
          <w:sz w:val="24"/>
          <w:szCs w:val="24"/>
        </w:rPr>
        <w:t>ARfD</w:t>
      </w:r>
      <w:proofErr w:type="spellEnd"/>
      <w:r w:rsidRPr="0084686C">
        <w:rPr>
          <w:rFonts w:asciiTheme="minorEastAsia" w:hAnsiTheme="minorEastAsia" w:hint="eastAsia"/>
          <w:sz w:val="24"/>
          <w:szCs w:val="24"/>
        </w:rPr>
        <w:t>）。</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（一）毒物代谢动力学评价</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对农药在实验动物体内的吸收、分布、生物转化过程、排泄和蓄积等进行评价。</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（二）毒理学评价</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对农药及其有毒代谢产物的急性毒性、短期毒性、长期毒性、致癌性、致畸性、遗传毒性和生殖毒性等进行评价。</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（三）推荐每日允许摄入量和急性参考剂量</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根据毒物代谢动力学和毒理学评价结果，确定未观察到有害作用剂量水平（NOAEL），采用适当的不确定系数，制定每日允许摄入量（ADI）。对于有急性毒性作用的农药，制定急性参考剂量（</w:t>
      </w:r>
      <w:proofErr w:type="spellStart"/>
      <w:r w:rsidRPr="0084686C">
        <w:rPr>
          <w:rFonts w:asciiTheme="minorEastAsia" w:hAnsiTheme="minorEastAsia" w:hint="eastAsia"/>
          <w:sz w:val="24"/>
          <w:szCs w:val="24"/>
        </w:rPr>
        <w:t>ARfD</w:t>
      </w:r>
      <w:proofErr w:type="spellEnd"/>
      <w:r w:rsidRPr="0084686C">
        <w:rPr>
          <w:rFonts w:asciiTheme="minorEastAsia" w:hAnsiTheme="minorEastAsia" w:hint="eastAsia"/>
          <w:sz w:val="24"/>
          <w:szCs w:val="24"/>
        </w:rPr>
        <w:t>）（具体参考《农药每日允许摄入量制定指南》和《农药急性参考剂量制定指南》）。</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二、残留化学评估</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残留化学评估是对农药及其有毒代谢物在食品和环境中的残留行为的评价。通过评价动植物代谢试验、田间残留试验、饲喂试验、加工过程和环境行为试验等试验结果，推荐规范残留试验中值（STMR）和最高残留值（HR）。</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（一）动植物代谢试验和残留物确定</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参考毒理学评估结果，进行动植物代谢试验，对农药代谢规律、最终产物进</w:t>
      </w:r>
      <w:r w:rsidRPr="0084686C">
        <w:rPr>
          <w:rFonts w:asciiTheme="minorEastAsia" w:hAnsiTheme="minorEastAsia" w:hint="eastAsia"/>
          <w:sz w:val="24"/>
          <w:szCs w:val="24"/>
        </w:rPr>
        <w:lastRenderedPageBreak/>
        <w:t>行评价，确定残留物。</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（二）残留行为评价</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1.残留分析方法。对残留分析方法的有效性进行评价，主要包括正确度和精密度等。</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2.样品贮藏稳定性。对试验样品贮藏稳定性进行评价；必要时，包括提取、净化后待测试样的贮藏稳定性。</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3.规范残留试验。对试验设计中的农药使用范围、使用方法、施药剂量、使用次数和安全间隔期、样品采集、运输和预处理及试验结果等进行评价，提出规范残留试验中值（STMR）和最高残留值（HR）。必要时，包括对后茬作物农药残留评价。</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（三）加工过程评价</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对食品加工前后农药残留量变化进行评价，计算加工因子。必要时，包括对加工过程中农药性质变化的评价。</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（四）动物饲喂试验评价</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对动物饲喂造成动物产品中农药残留结果进行评价，主要处理方式包括饲料、直接给药和外用。</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三、膳食摄入评估</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膳食摄入评估是在毒理学和残留化学评估的基础上，根据我国居民膳食消费量，估算农药的膳食摄入量，包括长期和短期膳食摄入。</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（一）长期膳食摄入评估</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长期膳食摄入评估是依据国家卫生行政部门发布的中国居民营养与健康状况监测调查，或相关参考资料的数据，结合残留化学评估推荐的规范残留试验中值（STMR），计算国家估算每日摄入量（NEDI）。</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根据规范残留试验中值（STMR/STMR-P）或最大残留限量（MRL）计算某种农药国家估算每日摄入量（NEDI），计算公式如下：</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NEDI =∑［</w:t>
      </w:r>
      <w:proofErr w:type="spellStart"/>
      <w:r w:rsidRPr="0084686C">
        <w:rPr>
          <w:rFonts w:asciiTheme="minorEastAsia" w:hAnsiTheme="minorEastAsia" w:hint="eastAsia"/>
          <w:sz w:val="24"/>
          <w:szCs w:val="24"/>
        </w:rPr>
        <w:t>STMRi</w:t>
      </w:r>
      <w:proofErr w:type="spellEnd"/>
      <w:r w:rsidRPr="0084686C">
        <w:rPr>
          <w:rFonts w:asciiTheme="minorEastAsia" w:hAnsiTheme="minorEastAsia" w:hint="eastAsia"/>
          <w:sz w:val="24"/>
          <w:szCs w:val="24"/>
        </w:rPr>
        <w:t>（STMR-Pi）× Fi）］</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式中：</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w:t>
      </w:r>
      <w:proofErr w:type="spellStart"/>
      <w:r w:rsidRPr="0084686C">
        <w:rPr>
          <w:rFonts w:asciiTheme="minorEastAsia" w:hAnsiTheme="minorEastAsia" w:hint="eastAsia"/>
          <w:sz w:val="24"/>
          <w:szCs w:val="24"/>
        </w:rPr>
        <w:t>STMRi</w:t>
      </w:r>
      <w:proofErr w:type="spellEnd"/>
      <w:r w:rsidRPr="0084686C">
        <w:rPr>
          <w:rFonts w:asciiTheme="minorEastAsia" w:hAnsiTheme="minorEastAsia" w:hint="eastAsia"/>
          <w:sz w:val="24"/>
          <w:szCs w:val="24"/>
        </w:rPr>
        <w:t>—农药在某一食品中的规范残留试验中值；</w:t>
      </w:r>
    </w:p>
    <w:p w:rsidR="0084686C" w:rsidRPr="0084686C" w:rsidRDefault="0084686C" w:rsidP="0084686C">
      <w:pPr>
        <w:rPr>
          <w:rFonts w:asciiTheme="minorEastAsia" w:hAnsiTheme="minorEastAsia"/>
          <w:sz w:val="24"/>
          <w:szCs w:val="24"/>
        </w:rPr>
      </w:pPr>
      <w:r w:rsidRPr="0084686C">
        <w:rPr>
          <w:rFonts w:asciiTheme="minorEastAsia" w:hAnsiTheme="minorEastAsia" w:hint="eastAsia"/>
          <w:sz w:val="24"/>
          <w:szCs w:val="24"/>
        </w:rPr>
        <w:t xml:space="preserve">　　STMR-Pi —用加工因子校正的规范残留试验中值；</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Fi</w:t>
      </w:r>
      <w:proofErr w:type="gramStart"/>
      <w:r w:rsidRPr="0084686C">
        <w:rPr>
          <w:rFonts w:asciiTheme="minorEastAsia" w:hAnsiTheme="minorEastAsia" w:hint="eastAsia"/>
          <w:sz w:val="24"/>
          <w:szCs w:val="24"/>
        </w:rPr>
        <w:t>—一般</w:t>
      </w:r>
      <w:proofErr w:type="gramEnd"/>
      <w:r w:rsidRPr="0084686C">
        <w:rPr>
          <w:rFonts w:asciiTheme="minorEastAsia" w:hAnsiTheme="minorEastAsia" w:hint="eastAsia"/>
          <w:sz w:val="24"/>
          <w:szCs w:val="24"/>
        </w:rPr>
        <w:t>人群某一食品的消费量。</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计算NEDI时，如果没有合适的STMR或STMR-P，可以使用相应的MRL。</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（二）短期膳食摄入评估</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短期膳食摄入评估是依据国家卫生行政部门发布的中国居民营养与健康状况监测调查，或相关参考资料的数据，基于每餐或</w:t>
      </w:r>
      <w:proofErr w:type="gramStart"/>
      <w:r w:rsidRPr="0084686C">
        <w:rPr>
          <w:rFonts w:asciiTheme="minorEastAsia" w:hAnsiTheme="minorEastAsia" w:hint="eastAsia"/>
          <w:sz w:val="24"/>
          <w:szCs w:val="24"/>
        </w:rPr>
        <w:t>一</w:t>
      </w:r>
      <w:proofErr w:type="gramEnd"/>
      <w:r w:rsidRPr="0084686C">
        <w:rPr>
          <w:rFonts w:asciiTheme="minorEastAsia" w:hAnsiTheme="minorEastAsia" w:hint="eastAsia"/>
          <w:sz w:val="24"/>
          <w:szCs w:val="24"/>
        </w:rPr>
        <w:t>日内膳食结构和具体食品特征，结合残留化学评估推荐的规范残留试验中值（STMR）或最高残留值（HR），计算国家估算短期摄入量（NESTI）。</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四、评估结论</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根据毒理学、残留化学和膳食摄入评估结果（每日允许摄入量、急性参考剂量、国家估算每日摄入量或国家估算短期摄入量），进行分析评价。一般情况下，当国家估算每日摄入量低于每日允许摄入量，国家估算短期摄入量低于急性参考剂量，则认为基于推荐的最大残留限量值的农药残留不会产生不可接受的健康风险。可向风险管理机构推荐最大残留限量值或风险管理建议。</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五、术语</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（一）风险评估 Risk Assessment：是指对人类由于接触危险物质而对健康</w:t>
      </w:r>
      <w:r w:rsidRPr="0084686C">
        <w:rPr>
          <w:rFonts w:asciiTheme="minorEastAsia" w:hAnsiTheme="minorEastAsia" w:hint="eastAsia"/>
          <w:sz w:val="24"/>
          <w:szCs w:val="24"/>
        </w:rPr>
        <w:lastRenderedPageBreak/>
        <w:t>具有已知或可能的严重不良作用的科学评估。包括危害识别，危害特征描述，暴露评估和风险特征描述。</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（二）危害 Hazard：食品中潜在的会对人类健康产生不良作用的生物、化学或物理性因素或条件。</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（三）风险 Risk：是指食品中因存在某种危害而对人类健康或环境产生不良作用的可能性和严重性。</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（四）残留物 Residue Definition：由于使用农药而在食品、农产品和动物饲料中出现的任何特定物质，包括被认为具有毒理学意义的农药衍生物，如农药转化物，代谢物、反应产物及杂质等。</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（五）最大残留限量 Maximum Residue Limit（MRL）：是在食品或农产品内部或表面法定允许的农药最大浓度，以每千克食品或农产品中农药残留的毫克数表示（mg/kg）。</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（六）每日允许摄入量 Acceptable Daily Intake （ADI）：人类终生每日</w:t>
      </w:r>
      <w:proofErr w:type="gramStart"/>
      <w:r w:rsidRPr="0084686C">
        <w:rPr>
          <w:rFonts w:asciiTheme="minorEastAsia" w:hAnsiTheme="minorEastAsia" w:hint="eastAsia"/>
          <w:sz w:val="24"/>
          <w:szCs w:val="24"/>
        </w:rPr>
        <w:t>摄入某</w:t>
      </w:r>
      <w:proofErr w:type="gramEnd"/>
      <w:r w:rsidRPr="0084686C">
        <w:rPr>
          <w:rFonts w:asciiTheme="minorEastAsia" w:hAnsiTheme="minorEastAsia" w:hint="eastAsia"/>
          <w:sz w:val="24"/>
          <w:szCs w:val="24"/>
        </w:rPr>
        <w:t xml:space="preserve">物质，而不产生可检测到的危害健康的估计量，以每千克体重可摄入的量表示（mg/kg </w:t>
      </w:r>
      <w:proofErr w:type="spellStart"/>
      <w:r w:rsidRPr="0084686C">
        <w:rPr>
          <w:rFonts w:asciiTheme="minorEastAsia" w:hAnsiTheme="minorEastAsia" w:hint="eastAsia"/>
          <w:sz w:val="24"/>
          <w:szCs w:val="24"/>
        </w:rPr>
        <w:t>bw</w:t>
      </w:r>
      <w:proofErr w:type="spellEnd"/>
      <w:r w:rsidRPr="0084686C">
        <w:rPr>
          <w:rFonts w:asciiTheme="minorEastAsia" w:hAnsiTheme="minorEastAsia" w:hint="eastAsia"/>
          <w:sz w:val="24"/>
          <w:szCs w:val="24"/>
        </w:rPr>
        <w:t>）。</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（七）急性参考剂量 Acute Reference Dose（</w:t>
      </w:r>
      <w:proofErr w:type="spellStart"/>
      <w:r w:rsidRPr="0084686C">
        <w:rPr>
          <w:rFonts w:asciiTheme="minorEastAsia" w:hAnsiTheme="minorEastAsia" w:hint="eastAsia"/>
          <w:sz w:val="24"/>
          <w:szCs w:val="24"/>
        </w:rPr>
        <w:t>ARfD</w:t>
      </w:r>
      <w:proofErr w:type="spellEnd"/>
      <w:r w:rsidRPr="0084686C">
        <w:rPr>
          <w:rFonts w:asciiTheme="minorEastAsia" w:hAnsiTheme="minorEastAsia" w:hint="eastAsia"/>
          <w:sz w:val="24"/>
          <w:szCs w:val="24"/>
        </w:rPr>
        <w:t>）：人类在24小时或更短时间内，通过膳食或饮水</w:t>
      </w:r>
      <w:proofErr w:type="gramStart"/>
      <w:r w:rsidRPr="0084686C">
        <w:rPr>
          <w:rFonts w:asciiTheme="minorEastAsia" w:hAnsiTheme="minorEastAsia" w:hint="eastAsia"/>
          <w:sz w:val="24"/>
          <w:szCs w:val="24"/>
        </w:rPr>
        <w:t>摄入某</w:t>
      </w:r>
      <w:proofErr w:type="gramEnd"/>
      <w:r w:rsidRPr="0084686C">
        <w:rPr>
          <w:rFonts w:asciiTheme="minorEastAsia" w:hAnsiTheme="minorEastAsia" w:hint="eastAsia"/>
          <w:sz w:val="24"/>
          <w:szCs w:val="24"/>
        </w:rPr>
        <w:t xml:space="preserve">物质，而不产生可检测到的危害健康的估计量，以每千克体重可摄入的量表示（mg/kg </w:t>
      </w:r>
      <w:proofErr w:type="spellStart"/>
      <w:r w:rsidRPr="0084686C">
        <w:rPr>
          <w:rFonts w:asciiTheme="minorEastAsia" w:hAnsiTheme="minorEastAsia" w:hint="eastAsia"/>
          <w:sz w:val="24"/>
          <w:szCs w:val="24"/>
        </w:rPr>
        <w:t>bw</w:t>
      </w:r>
      <w:proofErr w:type="spellEnd"/>
      <w:r w:rsidRPr="0084686C">
        <w:rPr>
          <w:rFonts w:asciiTheme="minorEastAsia" w:hAnsiTheme="minorEastAsia" w:hint="eastAsia"/>
          <w:sz w:val="24"/>
          <w:szCs w:val="24"/>
        </w:rPr>
        <w:t>）。</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（八）未观察到有害作用剂量水平 No-Observed- Adverse- Effect Level（NOAEL）：在规定的试验条件下，用现有技术手段或检测指标，未能观察到与染毒有关的有害效应的受试</w:t>
      </w:r>
      <w:proofErr w:type="gramStart"/>
      <w:r w:rsidRPr="0084686C">
        <w:rPr>
          <w:rFonts w:asciiTheme="minorEastAsia" w:hAnsiTheme="minorEastAsia" w:hint="eastAsia"/>
          <w:sz w:val="24"/>
          <w:szCs w:val="24"/>
        </w:rPr>
        <w:t>物最高</w:t>
      </w:r>
      <w:proofErr w:type="gramEnd"/>
      <w:r w:rsidRPr="0084686C">
        <w:rPr>
          <w:rFonts w:asciiTheme="minorEastAsia" w:hAnsiTheme="minorEastAsia" w:hint="eastAsia"/>
          <w:sz w:val="24"/>
          <w:szCs w:val="24"/>
        </w:rPr>
        <w:t>剂量或浓度。</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（九）不确定系数 Uncertainty Factor （UF）：在制定农药每日允许摄入量或急性参考剂量时，存在实验动物数据外推和数据质量等因素引起的不确定性，为了减少上述不确定性，一般将从实验动物毒性试验中得到的数据缩小一定的倍数得出每日允许摄入量或急性参考剂量，这种缩小的倍数即为不确定系数。</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（十）规范残留试验 Supervised Field Trials：是指在良好农业规范（GAP）和良好实验室规范（GLP）或相似条件下，为获取推荐使用的农药在可食用（或饲用）初级农产品和土壤中可能的最高残留值，以及这些农药在农产品、土壤（或水）中的消解动态而进行的试验。</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（十一）规范残留试验中值Supervised Trials Median Residue（STMR）：多个登记残留试验组成的数据集的中位数。</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（十二）最高</w:t>
      </w:r>
      <w:proofErr w:type="gramStart"/>
      <w:r w:rsidRPr="0084686C">
        <w:rPr>
          <w:rFonts w:asciiTheme="minorEastAsia" w:hAnsiTheme="minorEastAsia" w:hint="eastAsia"/>
          <w:sz w:val="24"/>
          <w:szCs w:val="24"/>
        </w:rPr>
        <w:t>残留值</w:t>
      </w:r>
      <w:proofErr w:type="gramEnd"/>
      <w:r w:rsidRPr="0084686C">
        <w:rPr>
          <w:rFonts w:asciiTheme="minorEastAsia" w:hAnsiTheme="minorEastAsia" w:hint="eastAsia"/>
          <w:sz w:val="24"/>
          <w:szCs w:val="24"/>
        </w:rPr>
        <w:t xml:space="preserve"> Highest Residue（HR）：多个登记残留试验组成的数据集的最大值。</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（十三）国家估算每日摄入量 National Estimated Daily Intake（NEDI）：是对长期农药残留摄入的估计。它是基于每人每日平均食物消费量和规范残留试验中值计算的，包括食品加工过程中残留变化、其它来源的膳食摄入和有毒理学意义的转化产物。以mg/kg </w:t>
      </w:r>
      <w:proofErr w:type="spellStart"/>
      <w:r w:rsidRPr="0084686C">
        <w:rPr>
          <w:rFonts w:asciiTheme="minorEastAsia" w:hAnsiTheme="minorEastAsia" w:hint="eastAsia"/>
          <w:sz w:val="24"/>
          <w:szCs w:val="24"/>
        </w:rPr>
        <w:t>bw</w:t>
      </w:r>
      <w:proofErr w:type="spellEnd"/>
      <w:r w:rsidRPr="0084686C">
        <w:rPr>
          <w:rFonts w:asciiTheme="minorEastAsia" w:hAnsiTheme="minorEastAsia" w:hint="eastAsia"/>
          <w:sz w:val="24"/>
          <w:szCs w:val="24"/>
        </w:rPr>
        <w:t>为单位。。</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（十四）国家估算短期摄入量 National Estimated Short Term Intake（NESTI）：是对短期农药残留摄入的估计。它是基于每人每日（餐）某种食物摄入量和规范残留试验数据计算的，主要考虑食品可食部分的残留，包括有毒理学意义的转化产物。以mg/kg </w:t>
      </w:r>
      <w:proofErr w:type="spellStart"/>
      <w:r w:rsidRPr="0084686C">
        <w:rPr>
          <w:rFonts w:asciiTheme="minorEastAsia" w:hAnsiTheme="minorEastAsia" w:hint="eastAsia"/>
          <w:sz w:val="24"/>
          <w:szCs w:val="24"/>
        </w:rPr>
        <w:t>bw</w:t>
      </w:r>
      <w:proofErr w:type="spellEnd"/>
      <w:r w:rsidRPr="0084686C">
        <w:rPr>
          <w:rFonts w:asciiTheme="minorEastAsia" w:hAnsiTheme="minorEastAsia" w:hint="eastAsia"/>
          <w:sz w:val="24"/>
          <w:szCs w:val="24"/>
        </w:rPr>
        <w:t>为单位。</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（十五）农药使用的良好农业规范Good Agricultural Practice （GAP） for pesticide application: 农药使用的良好农业规范是指农药登记批准的农药使用方法、使用范围、使用剂量、使用次数和安全间隔期等。</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lastRenderedPageBreak/>
        <w:t xml:space="preserve">　　（十六）良好实验室规范Good Laboratory Practice （GLP）:是一种有关非临床人类健康和环境安全试验的设计、实施、查验、记录、归档及报告等的组织过程和条件的质量体系。</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食品中农药最大残留限量制定指南</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为保证农药最大残留限量制定科学、规范、合理，依据《中华人民共和国食品安全法》《中华人民共和国农产品质量安全法》《农药管理条例》《农药登记资料规定》，特制定本指南。</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食品（包括食用农产品）中农药最大残留限量制定是指根据农药使用的良好农业规范（GAP）和规范农药残留试验，推荐农药最大残留水平，参考农药残留风险评估结果，推荐最大残留限量（MRL）。</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本指南用于指导我国食品中农药最大残留限量的制修订。</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一、一般程序</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（一）确定规范残留试验中值（STMR）和最高</w:t>
      </w:r>
      <w:proofErr w:type="gramStart"/>
      <w:r w:rsidRPr="0084686C">
        <w:rPr>
          <w:rFonts w:asciiTheme="minorEastAsia" w:hAnsiTheme="minorEastAsia" w:hint="eastAsia"/>
          <w:sz w:val="24"/>
          <w:szCs w:val="24"/>
        </w:rPr>
        <w:t>残留值</w:t>
      </w:r>
      <w:proofErr w:type="gramEnd"/>
      <w:r w:rsidRPr="0084686C">
        <w:rPr>
          <w:rFonts w:asciiTheme="minorEastAsia" w:hAnsiTheme="minorEastAsia" w:hint="eastAsia"/>
          <w:sz w:val="24"/>
          <w:szCs w:val="24"/>
        </w:rPr>
        <w:t>(HR)</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按照《农药登记资料规定》和《农药残留试验准则》（NY/T 788）要求，在农药使用的良好农业规范（GAP）条件下进行规范残留试验，根据残留试验结果，确定规范残留试验中值（STMR）和最高</w:t>
      </w:r>
      <w:proofErr w:type="gramStart"/>
      <w:r w:rsidRPr="0084686C">
        <w:rPr>
          <w:rFonts w:asciiTheme="minorEastAsia" w:hAnsiTheme="minorEastAsia" w:hint="eastAsia"/>
          <w:sz w:val="24"/>
          <w:szCs w:val="24"/>
        </w:rPr>
        <w:t>残留值</w:t>
      </w:r>
      <w:proofErr w:type="gramEnd"/>
      <w:r w:rsidRPr="0084686C">
        <w:rPr>
          <w:rFonts w:asciiTheme="minorEastAsia" w:hAnsiTheme="minorEastAsia" w:hint="eastAsia"/>
          <w:sz w:val="24"/>
          <w:szCs w:val="24"/>
        </w:rPr>
        <w:t>(HR)。</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（二）确定每日允许摄入量（ADI）和/或急性参考剂量（</w:t>
      </w:r>
      <w:proofErr w:type="spellStart"/>
      <w:r w:rsidRPr="0084686C">
        <w:rPr>
          <w:rFonts w:asciiTheme="minorEastAsia" w:hAnsiTheme="minorEastAsia" w:hint="eastAsia"/>
          <w:sz w:val="24"/>
          <w:szCs w:val="24"/>
        </w:rPr>
        <w:t>ARfD</w:t>
      </w:r>
      <w:proofErr w:type="spellEnd"/>
      <w:r w:rsidRPr="0084686C">
        <w:rPr>
          <w:rFonts w:asciiTheme="minorEastAsia" w:hAnsiTheme="minorEastAsia" w:hint="eastAsia"/>
          <w:sz w:val="24"/>
          <w:szCs w:val="24"/>
        </w:rPr>
        <w:t>）</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根据毒物代谢动力学和毒理学评价结果，制定每日允许摄入量。对于有急性毒性作用的农药，制定急性参考剂量。</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（三）推荐农药最大残留限量（MRL）</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根据规范残留试验数据，确定最大残留水平，依据我国膳食消费数据，计算国家估算每日摄入量，或短期膳食摄入量，进行膳食摄入风险评估，推荐食品安全国家标准农药最大残留限量（MRL）。</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推荐的最大残留限量，低于10mg/kg的保留一位有效数字，高于10mg/kg,低于99mg/kg的保留两位有效数字，高于100mg/kg的用10的倍数表示，最大残留限量通常设置为0.01、0.02、0.03、0.05、0.07、0.1、0.2、0.3、0.5、0.7、1、2、3、5、7、10、15、20、25、30、40和50 mg/kg。</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依据《用于农药残留限量标准制定的作物分类》，可制定适用于同组作物上的最大残留限量。</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二、再评估</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发生以下情况时，应对制定的农药最大残留限量进行再评估：</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（一）批准农药的良好农业规范（GAP）变化较大时；</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（二）毒理学研究证明有新的潜在风险时；</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（三）残留试验数据监测数据显示有新的摄入风险时。</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（四）农药残留标准审评委员会认定的其他情况。</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再评估应遵从农药最大残留限量标准制定程序进行。</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三、周期评估</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为保证农药最大残留限量的时效性和有效性，实行农药最大残留限量周期评估制度，评估周期为15年，临时限量和再残留限量的评估周期为5年。</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四、特殊情况</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（一）临时限量</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当下述情形发生时，可以制定临时限量标准：</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1.每日允许摄入量是临时值时；</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2.没有完善或可靠的膳食数据时；</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lastRenderedPageBreak/>
        <w:t xml:space="preserve">　　3.没有符合要求的残留检验方法标准时；</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4.农药或农药/作物组合在我国没有登记，当存在国际贸易和进口检验需求时；</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5.在紧急情况下，农药被批准在未登记作物上使用时，制定紧急限量标准，并对其适用范围和时间进行限定；</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6.其他资料不完全满足评估程序要求时。</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临时限量标准的制定应参照农药最大残留限量标准制定程序进行。当获得新的数据时，应及时进行修订。</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（二）再残留限量</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对已经禁止使用且不易降解的农药，因在环境中长期稳定存在而引起在作物上的残留，需要制定再残留限量（EMRL）。再残留限量是通过实施国家监测计划获得的残留数据进行风险评估制修订的。</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（三）豁免残留限量</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当存在下述情形时，豁免制定残留限量：</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1．当农药毒性很低，按照标签规定使用后，食品中农药残留不会对健康产生不可接受风险时；</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2．当农药的使用仅带来微小的膳食摄入风险时。</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豁免制定残留限量的农药需要根据具体农药的毒性和使用方法逐个进行风险评估确定。</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（四）香料/调味品产品中最大残留限量</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在没有规范残留试验数据的条件下，可以使用监测数据，但需要提供详细的种植和生产情况以及足够的监测数据，制定程序参照农药最大残留限量标准制定。</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五、术语</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（一）农药使用的良好农业规范 Good Agricultural Practice（GAP） for pesticide application：农药使用的良好农业规范是指农药登记批准的农药使用方法、使用范围、使用剂量、使用次数和安全间隔期等。</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（二）规范残留试验Supervised Field Trials：是指在良好农业规范（GAP）和良好实验室规范（GLP）或相似条件下，为获取推荐使用的农药在可食用（或饲用）初级农产品和土壤中可能的最高残留值，以及这些农药在农产品、土壤（或水）中的消解动态而进行的试验。</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（三）最大残留限量 Maximum Residue Limit（MRL)：是在食品或农产品内部或表面法定允许的农药最大浓度，以每千克食品或农产品中农药残留的毫克数表示（mg/kg）。</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四）再残留限量（EMRL）：一些持久性农药虽然已禁用，但还长期存在环境中，从而再次在食品中形成残留，为控制这类农药残留物对食品的污染而制定其在食品中的残留限量，以每千克食品或农产品中农药残留的毫克数表示（mg/kg）。</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（五）每日允许摄入量 Acceptable Daily Intake (ADI)：人类终生每日</w:t>
      </w:r>
      <w:proofErr w:type="gramStart"/>
      <w:r w:rsidRPr="0084686C">
        <w:rPr>
          <w:rFonts w:asciiTheme="minorEastAsia" w:hAnsiTheme="minorEastAsia" w:hint="eastAsia"/>
          <w:sz w:val="24"/>
          <w:szCs w:val="24"/>
        </w:rPr>
        <w:t>摄入某</w:t>
      </w:r>
      <w:proofErr w:type="gramEnd"/>
      <w:r w:rsidRPr="0084686C">
        <w:rPr>
          <w:rFonts w:asciiTheme="minorEastAsia" w:hAnsiTheme="minorEastAsia" w:hint="eastAsia"/>
          <w:sz w:val="24"/>
          <w:szCs w:val="24"/>
        </w:rPr>
        <w:t xml:space="preserve">物质，而不产生可检测到的危害健康的估计量，以每千克体重可摄入的量表示（mg/kg </w:t>
      </w:r>
      <w:proofErr w:type="spellStart"/>
      <w:r w:rsidRPr="0084686C">
        <w:rPr>
          <w:rFonts w:asciiTheme="minorEastAsia" w:hAnsiTheme="minorEastAsia" w:hint="eastAsia"/>
          <w:sz w:val="24"/>
          <w:szCs w:val="24"/>
        </w:rPr>
        <w:t>bw</w:t>
      </w:r>
      <w:proofErr w:type="spellEnd"/>
      <w:r w:rsidRPr="0084686C">
        <w:rPr>
          <w:rFonts w:asciiTheme="minorEastAsia" w:hAnsiTheme="minorEastAsia" w:hint="eastAsia"/>
          <w:sz w:val="24"/>
          <w:szCs w:val="24"/>
        </w:rPr>
        <w:t>）。</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（六）急性参考剂量 Acute Reference Dose (</w:t>
      </w:r>
      <w:proofErr w:type="spellStart"/>
      <w:r w:rsidRPr="0084686C">
        <w:rPr>
          <w:rFonts w:asciiTheme="minorEastAsia" w:hAnsiTheme="minorEastAsia" w:hint="eastAsia"/>
          <w:sz w:val="24"/>
          <w:szCs w:val="24"/>
        </w:rPr>
        <w:t>ARfD</w:t>
      </w:r>
      <w:proofErr w:type="spellEnd"/>
      <w:r w:rsidRPr="0084686C">
        <w:rPr>
          <w:rFonts w:asciiTheme="minorEastAsia" w:hAnsiTheme="minorEastAsia" w:hint="eastAsia"/>
          <w:sz w:val="24"/>
          <w:szCs w:val="24"/>
        </w:rPr>
        <w:t>)：</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人类在24小时或更短时间内，通过膳食或饮水</w:t>
      </w:r>
      <w:proofErr w:type="gramStart"/>
      <w:r w:rsidRPr="0084686C">
        <w:rPr>
          <w:rFonts w:asciiTheme="minorEastAsia" w:hAnsiTheme="minorEastAsia" w:hint="eastAsia"/>
          <w:sz w:val="24"/>
          <w:szCs w:val="24"/>
        </w:rPr>
        <w:t>摄入某</w:t>
      </w:r>
      <w:proofErr w:type="gramEnd"/>
      <w:r w:rsidRPr="0084686C">
        <w:rPr>
          <w:rFonts w:asciiTheme="minorEastAsia" w:hAnsiTheme="minorEastAsia" w:hint="eastAsia"/>
          <w:sz w:val="24"/>
          <w:szCs w:val="24"/>
        </w:rPr>
        <w:t xml:space="preserve">物质，而不产生可检测到的危害健康的估计量，以每千克体重可摄入的量表示（mg/kg </w:t>
      </w:r>
      <w:proofErr w:type="spellStart"/>
      <w:r w:rsidRPr="0084686C">
        <w:rPr>
          <w:rFonts w:asciiTheme="minorEastAsia" w:hAnsiTheme="minorEastAsia" w:hint="eastAsia"/>
          <w:sz w:val="24"/>
          <w:szCs w:val="24"/>
        </w:rPr>
        <w:t>bw</w:t>
      </w:r>
      <w:proofErr w:type="spellEnd"/>
      <w:r w:rsidRPr="0084686C">
        <w:rPr>
          <w:rFonts w:asciiTheme="minorEastAsia" w:hAnsiTheme="minorEastAsia" w:hint="eastAsia"/>
          <w:sz w:val="24"/>
          <w:szCs w:val="24"/>
        </w:rPr>
        <w:t>）。</w:t>
      </w:r>
    </w:p>
    <w:p w:rsidR="0084686C" w:rsidRPr="0084686C" w:rsidRDefault="0084686C" w:rsidP="0084686C">
      <w:pPr>
        <w:rPr>
          <w:rFonts w:asciiTheme="minorEastAsia" w:hAnsiTheme="minorEastAsia"/>
          <w:sz w:val="24"/>
          <w:szCs w:val="24"/>
        </w:rPr>
      </w:pPr>
      <w:r w:rsidRPr="0084686C">
        <w:rPr>
          <w:rFonts w:asciiTheme="minorEastAsia" w:hAnsiTheme="minorEastAsia"/>
          <w:sz w:val="24"/>
          <w:szCs w:val="24"/>
        </w:rPr>
        <w:t xml:space="preserve"> </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lastRenderedPageBreak/>
        <w:t xml:space="preserve">　　（七）风险评估Risk Assessment：是指对人类由于接触危险物质而对健康具有已知或可能的严重不良作用的科学评估。包括危害确认，危害特征描述，暴露评估和风险表述。</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（八）规范残留试验中值Supervised Trials Median Residue（STMR）：有效残留数据的中间值。</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（九）最高</w:t>
      </w:r>
      <w:proofErr w:type="gramStart"/>
      <w:r w:rsidRPr="0084686C">
        <w:rPr>
          <w:rFonts w:asciiTheme="minorEastAsia" w:hAnsiTheme="minorEastAsia" w:hint="eastAsia"/>
          <w:sz w:val="24"/>
          <w:szCs w:val="24"/>
        </w:rPr>
        <w:t>残留值</w:t>
      </w:r>
      <w:proofErr w:type="gramEnd"/>
      <w:r w:rsidRPr="0084686C">
        <w:rPr>
          <w:rFonts w:asciiTheme="minorEastAsia" w:hAnsiTheme="minorEastAsia" w:hint="eastAsia"/>
          <w:sz w:val="24"/>
          <w:szCs w:val="24"/>
        </w:rPr>
        <w:t xml:space="preserve"> Highest Residue（HR）：有效残留数据的最大值。</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（十）国家估算每日摄入量 National Estimated Daily Intake (NEDI)：是对长期农药残留摄入的估计。它是基于每人每日平均食物消费量和规范残留试验中值计算的，包括食品加工过程中残留变化，其它来源的膳食摄入和有毒理学意义的转化产物。以毫克为单位。</w:t>
      </w:r>
    </w:p>
    <w:p w:rsidR="0084686C" w:rsidRPr="0084686C" w:rsidRDefault="0084686C" w:rsidP="0084686C">
      <w:pPr>
        <w:rPr>
          <w:rFonts w:asciiTheme="minorEastAsia" w:hAnsiTheme="minorEastAsia" w:hint="eastAsia"/>
          <w:sz w:val="24"/>
          <w:szCs w:val="24"/>
        </w:rPr>
      </w:pPr>
      <w:r w:rsidRPr="0084686C">
        <w:rPr>
          <w:rFonts w:asciiTheme="minorEastAsia" w:hAnsiTheme="minorEastAsia" w:hint="eastAsia"/>
          <w:sz w:val="24"/>
          <w:szCs w:val="24"/>
        </w:rPr>
        <w:t xml:space="preserve">　　（十一）国家估算短期摄入量 National Estimated Short Term Intake（NESTI）：是对短期农药残留摄入的估计。它是基于每人每日（餐）某种食物摄入量和规范残留试验的最高</w:t>
      </w:r>
      <w:proofErr w:type="gramStart"/>
      <w:r w:rsidRPr="0084686C">
        <w:rPr>
          <w:rFonts w:asciiTheme="minorEastAsia" w:hAnsiTheme="minorEastAsia" w:hint="eastAsia"/>
          <w:sz w:val="24"/>
          <w:szCs w:val="24"/>
        </w:rPr>
        <w:t>残留值</w:t>
      </w:r>
      <w:proofErr w:type="gramEnd"/>
      <w:r w:rsidRPr="0084686C">
        <w:rPr>
          <w:rFonts w:asciiTheme="minorEastAsia" w:hAnsiTheme="minorEastAsia" w:hint="eastAsia"/>
          <w:sz w:val="24"/>
          <w:szCs w:val="24"/>
        </w:rPr>
        <w:t>计算的，主要考虑食品可食部分的残留，包括其它来源的膳食摄入和有毒理学意义的转化产物，以每千克体重的毫克数为单位。</w:t>
      </w:r>
    </w:p>
    <w:p w:rsidR="0084686C" w:rsidRPr="0084686C" w:rsidRDefault="0084686C" w:rsidP="0084686C">
      <w:pPr>
        <w:rPr>
          <w:rFonts w:asciiTheme="minorEastAsia" w:hAnsiTheme="minorEastAsia"/>
          <w:sz w:val="24"/>
          <w:szCs w:val="24"/>
        </w:rPr>
      </w:pPr>
      <w:bookmarkStart w:id="0" w:name="_GoBack"/>
      <w:bookmarkEnd w:id="0"/>
      <w:r w:rsidRPr="0084686C">
        <w:rPr>
          <w:rFonts w:asciiTheme="minorEastAsia" w:hAnsiTheme="minorEastAsia" w:hint="eastAsia"/>
          <w:sz w:val="24"/>
          <w:szCs w:val="24"/>
        </w:rPr>
        <w:t xml:space="preserve">　　（十二）良好实验室规范Good Laboratory Practice （GLP）:是一种有关非临床人类健康和环境安全试验的设计、实施、查验、记录、归档及报告等的组织过程和条件的质量体系。</w:t>
      </w:r>
    </w:p>
    <w:sectPr w:rsidR="0084686C" w:rsidRPr="008468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CA"/>
    <w:rsid w:val="000224CE"/>
    <w:rsid w:val="00542ECA"/>
    <w:rsid w:val="00767BE3"/>
    <w:rsid w:val="0084686C"/>
    <w:rsid w:val="00C67968"/>
    <w:rsid w:val="00D56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4686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686C"/>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4686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686C"/>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10065">
      <w:bodyDiv w:val="1"/>
      <w:marLeft w:val="0"/>
      <w:marRight w:val="0"/>
      <w:marTop w:val="0"/>
      <w:marBottom w:val="0"/>
      <w:divBdr>
        <w:top w:val="none" w:sz="0" w:space="0" w:color="auto"/>
        <w:left w:val="none" w:sz="0" w:space="0" w:color="auto"/>
        <w:bottom w:val="none" w:sz="0" w:space="0" w:color="auto"/>
        <w:right w:val="none" w:sz="0" w:space="0" w:color="auto"/>
      </w:divBdr>
      <w:divsChild>
        <w:div w:id="1644583361">
          <w:marLeft w:val="0"/>
          <w:marRight w:val="0"/>
          <w:marTop w:val="0"/>
          <w:marBottom w:val="0"/>
          <w:divBdr>
            <w:top w:val="none" w:sz="0" w:space="0" w:color="auto"/>
            <w:left w:val="none" w:sz="0" w:space="0" w:color="auto"/>
            <w:bottom w:val="none" w:sz="0" w:space="0" w:color="auto"/>
            <w:right w:val="none" w:sz="0" w:space="0" w:color="auto"/>
          </w:divBdr>
        </w:div>
        <w:div w:id="1678536518">
          <w:marLeft w:val="0"/>
          <w:marRight w:val="0"/>
          <w:marTop w:val="0"/>
          <w:marBottom w:val="0"/>
          <w:divBdr>
            <w:top w:val="none" w:sz="0" w:space="0" w:color="auto"/>
            <w:left w:val="none" w:sz="0" w:space="0" w:color="auto"/>
            <w:bottom w:val="none" w:sz="0" w:space="0" w:color="auto"/>
            <w:right w:val="none" w:sz="0" w:space="0" w:color="auto"/>
          </w:divBdr>
        </w:div>
        <w:div w:id="119689169">
          <w:marLeft w:val="0"/>
          <w:marRight w:val="0"/>
          <w:marTop w:val="0"/>
          <w:marBottom w:val="0"/>
          <w:divBdr>
            <w:top w:val="none" w:sz="0" w:space="0" w:color="auto"/>
            <w:left w:val="none" w:sz="0" w:space="0" w:color="auto"/>
            <w:bottom w:val="none" w:sz="0" w:space="0" w:color="auto"/>
            <w:right w:val="none" w:sz="0" w:space="0" w:color="auto"/>
          </w:divBdr>
        </w:div>
        <w:div w:id="381289426">
          <w:marLeft w:val="0"/>
          <w:marRight w:val="0"/>
          <w:marTop w:val="0"/>
          <w:marBottom w:val="0"/>
          <w:divBdr>
            <w:top w:val="none" w:sz="0" w:space="0" w:color="auto"/>
            <w:left w:val="none" w:sz="0" w:space="0" w:color="auto"/>
            <w:bottom w:val="none" w:sz="0" w:space="0" w:color="auto"/>
            <w:right w:val="none" w:sz="0" w:space="0" w:color="auto"/>
          </w:divBdr>
        </w:div>
        <w:div w:id="479268195">
          <w:marLeft w:val="0"/>
          <w:marRight w:val="0"/>
          <w:marTop w:val="0"/>
          <w:marBottom w:val="0"/>
          <w:divBdr>
            <w:top w:val="none" w:sz="0" w:space="0" w:color="auto"/>
            <w:left w:val="none" w:sz="0" w:space="0" w:color="auto"/>
            <w:bottom w:val="none" w:sz="0" w:space="0" w:color="auto"/>
            <w:right w:val="none" w:sz="0" w:space="0" w:color="auto"/>
          </w:divBdr>
        </w:div>
        <w:div w:id="751701629">
          <w:marLeft w:val="0"/>
          <w:marRight w:val="0"/>
          <w:marTop w:val="0"/>
          <w:marBottom w:val="0"/>
          <w:divBdr>
            <w:top w:val="none" w:sz="0" w:space="0" w:color="auto"/>
            <w:left w:val="none" w:sz="0" w:space="0" w:color="auto"/>
            <w:bottom w:val="none" w:sz="0" w:space="0" w:color="auto"/>
            <w:right w:val="none" w:sz="0" w:space="0" w:color="auto"/>
          </w:divBdr>
        </w:div>
        <w:div w:id="1832716421">
          <w:marLeft w:val="0"/>
          <w:marRight w:val="0"/>
          <w:marTop w:val="0"/>
          <w:marBottom w:val="0"/>
          <w:divBdr>
            <w:top w:val="none" w:sz="0" w:space="0" w:color="auto"/>
            <w:left w:val="none" w:sz="0" w:space="0" w:color="auto"/>
            <w:bottom w:val="none" w:sz="0" w:space="0" w:color="auto"/>
            <w:right w:val="none" w:sz="0" w:space="0" w:color="auto"/>
          </w:divBdr>
        </w:div>
        <w:div w:id="1638955162">
          <w:marLeft w:val="0"/>
          <w:marRight w:val="0"/>
          <w:marTop w:val="0"/>
          <w:marBottom w:val="0"/>
          <w:divBdr>
            <w:top w:val="none" w:sz="0" w:space="0" w:color="auto"/>
            <w:left w:val="none" w:sz="0" w:space="0" w:color="auto"/>
            <w:bottom w:val="none" w:sz="0" w:space="0" w:color="auto"/>
            <w:right w:val="none" w:sz="0" w:space="0" w:color="auto"/>
          </w:divBdr>
        </w:div>
        <w:div w:id="1256128522">
          <w:marLeft w:val="0"/>
          <w:marRight w:val="0"/>
          <w:marTop w:val="0"/>
          <w:marBottom w:val="0"/>
          <w:divBdr>
            <w:top w:val="none" w:sz="0" w:space="0" w:color="auto"/>
            <w:left w:val="none" w:sz="0" w:space="0" w:color="auto"/>
            <w:bottom w:val="none" w:sz="0" w:space="0" w:color="auto"/>
            <w:right w:val="none" w:sz="0" w:space="0" w:color="auto"/>
          </w:divBdr>
        </w:div>
        <w:div w:id="27528886">
          <w:marLeft w:val="0"/>
          <w:marRight w:val="0"/>
          <w:marTop w:val="0"/>
          <w:marBottom w:val="0"/>
          <w:divBdr>
            <w:top w:val="none" w:sz="0" w:space="0" w:color="auto"/>
            <w:left w:val="none" w:sz="0" w:space="0" w:color="auto"/>
            <w:bottom w:val="none" w:sz="0" w:space="0" w:color="auto"/>
            <w:right w:val="none" w:sz="0" w:space="0" w:color="auto"/>
          </w:divBdr>
        </w:div>
        <w:div w:id="1970429659">
          <w:marLeft w:val="0"/>
          <w:marRight w:val="0"/>
          <w:marTop w:val="0"/>
          <w:marBottom w:val="0"/>
          <w:divBdr>
            <w:top w:val="none" w:sz="0" w:space="0" w:color="auto"/>
            <w:left w:val="none" w:sz="0" w:space="0" w:color="auto"/>
            <w:bottom w:val="none" w:sz="0" w:space="0" w:color="auto"/>
            <w:right w:val="none" w:sz="0" w:space="0" w:color="auto"/>
          </w:divBdr>
        </w:div>
        <w:div w:id="684402552">
          <w:marLeft w:val="0"/>
          <w:marRight w:val="0"/>
          <w:marTop w:val="0"/>
          <w:marBottom w:val="0"/>
          <w:divBdr>
            <w:top w:val="none" w:sz="0" w:space="0" w:color="auto"/>
            <w:left w:val="none" w:sz="0" w:space="0" w:color="auto"/>
            <w:bottom w:val="none" w:sz="0" w:space="0" w:color="auto"/>
            <w:right w:val="none" w:sz="0" w:space="0" w:color="auto"/>
          </w:divBdr>
        </w:div>
        <w:div w:id="1149830572">
          <w:marLeft w:val="0"/>
          <w:marRight w:val="0"/>
          <w:marTop w:val="0"/>
          <w:marBottom w:val="0"/>
          <w:divBdr>
            <w:top w:val="none" w:sz="0" w:space="0" w:color="auto"/>
            <w:left w:val="none" w:sz="0" w:space="0" w:color="auto"/>
            <w:bottom w:val="none" w:sz="0" w:space="0" w:color="auto"/>
            <w:right w:val="none" w:sz="0" w:space="0" w:color="auto"/>
          </w:divBdr>
        </w:div>
        <w:div w:id="537935081">
          <w:marLeft w:val="0"/>
          <w:marRight w:val="0"/>
          <w:marTop w:val="0"/>
          <w:marBottom w:val="0"/>
          <w:divBdr>
            <w:top w:val="none" w:sz="0" w:space="0" w:color="auto"/>
            <w:left w:val="none" w:sz="0" w:space="0" w:color="auto"/>
            <w:bottom w:val="none" w:sz="0" w:space="0" w:color="auto"/>
            <w:right w:val="none" w:sz="0" w:space="0" w:color="auto"/>
          </w:divBdr>
        </w:div>
        <w:div w:id="1102147752">
          <w:marLeft w:val="0"/>
          <w:marRight w:val="0"/>
          <w:marTop w:val="0"/>
          <w:marBottom w:val="0"/>
          <w:divBdr>
            <w:top w:val="none" w:sz="0" w:space="0" w:color="auto"/>
            <w:left w:val="none" w:sz="0" w:space="0" w:color="auto"/>
            <w:bottom w:val="none" w:sz="0" w:space="0" w:color="auto"/>
            <w:right w:val="none" w:sz="0" w:space="0" w:color="auto"/>
          </w:divBdr>
        </w:div>
        <w:div w:id="190460836">
          <w:marLeft w:val="0"/>
          <w:marRight w:val="0"/>
          <w:marTop w:val="0"/>
          <w:marBottom w:val="0"/>
          <w:divBdr>
            <w:top w:val="none" w:sz="0" w:space="0" w:color="auto"/>
            <w:left w:val="none" w:sz="0" w:space="0" w:color="auto"/>
            <w:bottom w:val="none" w:sz="0" w:space="0" w:color="auto"/>
            <w:right w:val="none" w:sz="0" w:space="0" w:color="auto"/>
          </w:divBdr>
        </w:div>
        <w:div w:id="564023795">
          <w:marLeft w:val="0"/>
          <w:marRight w:val="0"/>
          <w:marTop w:val="0"/>
          <w:marBottom w:val="0"/>
          <w:divBdr>
            <w:top w:val="none" w:sz="0" w:space="0" w:color="auto"/>
            <w:left w:val="none" w:sz="0" w:space="0" w:color="auto"/>
            <w:bottom w:val="none" w:sz="0" w:space="0" w:color="auto"/>
            <w:right w:val="none" w:sz="0" w:space="0" w:color="auto"/>
          </w:divBdr>
        </w:div>
        <w:div w:id="1885557131">
          <w:marLeft w:val="0"/>
          <w:marRight w:val="0"/>
          <w:marTop w:val="0"/>
          <w:marBottom w:val="0"/>
          <w:divBdr>
            <w:top w:val="none" w:sz="0" w:space="0" w:color="auto"/>
            <w:left w:val="none" w:sz="0" w:space="0" w:color="auto"/>
            <w:bottom w:val="none" w:sz="0" w:space="0" w:color="auto"/>
            <w:right w:val="none" w:sz="0" w:space="0" w:color="auto"/>
          </w:divBdr>
        </w:div>
        <w:div w:id="1954357421">
          <w:marLeft w:val="0"/>
          <w:marRight w:val="0"/>
          <w:marTop w:val="0"/>
          <w:marBottom w:val="0"/>
          <w:divBdr>
            <w:top w:val="none" w:sz="0" w:space="0" w:color="auto"/>
            <w:left w:val="none" w:sz="0" w:space="0" w:color="auto"/>
            <w:bottom w:val="none" w:sz="0" w:space="0" w:color="auto"/>
            <w:right w:val="none" w:sz="0" w:space="0" w:color="auto"/>
          </w:divBdr>
        </w:div>
        <w:div w:id="198445267">
          <w:marLeft w:val="0"/>
          <w:marRight w:val="0"/>
          <w:marTop w:val="0"/>
          <w:marBottom w:val="0"/>
          <w:divBdr>
            <w:top w:val="none" w:sz="0" w:space="0" w:color="auto"/>
            <w:left w:val="none" w:sz="0" w:space="0" w:color="auto"/>
            <w:bottom w:val="none" w:sz="0" w:space="0" w:color="auto"/>
            <w:right w:val="none" w:sz="0" w:space="0" w:color="auto"/>
          </w:divBdr>
        </w:div>
        <w:div w:id="234978602">
          <w:marLeft w:val="0"/>
          <w:marRight w:val="0"/>
          <w:marTop w:val="0"/>
          <w:marBottom w:val="0"/>
          <w:divBdr>
            <w:top w:val="none" w:sz="0" w:space="0" w:color="auto"/>
            <w:left w:val="none" w:sz="0" w:space="0" w:color="auto"/>
            <w:bottom w:val="none" w:sz="0" w:space="0" w:color="auto"/>
            <w:right w:val="none" w:sz="0" w:space="0" w:color="auto"/>
          </w:divBdr>
        </w:div>
        <w:div w:id="1722291735">
          <w:marLeft w:val="0"/>
          <w:marRight w:val="0"/>
          <w:marTop w:val="0"/>
          <w:marBottom w:val="0"/>
          <w:divBdr>
            <w:top w:val="none" w:sz="0" w:space="0" w:color="auto"/>
            <w:left w:val="none" w:sz="0" w:space="0" w:color="auto"/>
            <w:bottom w:val="none" w:sz="0" w:space="0" w:color="auto"/>
            <w:right w:val="none" w:sz="0" w:space="0" w:color="auto"/>
          </w:divBdr>
        </w:div>
        <w:div w:id="4332052">
          <w:marLeft w:val="0"/>
          <w:marRight w:val="0"/>
          <w:marTop w:val="0"/>
          <w:marBottom w:val="0"/>
          <w:divBdr>
            <w:top w:val="none" w:sz="0" w:space="0" w:color="auto"/>
            <w:left w:val="none" w:sz="0" w:space="0" w:color="auto"/>
            <w:bottom w:val="none" w:sz="0" w:space="0" w:color="auto"/>
            <w:right w:val="none" w:sz="0" w:space="0" w:color="auto"/>
          </w:divBdr>
        </w:div>
        <w:div w:id="53093360">
          <w:marLeft w:val="0"/>
          <w:marRight w:val="0"/>
          <w:marTop w:val="0"/>
          <w:marBottom w:val="0"/>
          <w:divBdr>
            <w:top w:val="none" w:sz="0" w:space="0" w:color="auto"/>
            <w:left w:val="none" w:sz="0" w:space="0" w:color="auto"/>
            <w:bottom w:val="none" w:sz="0" w:space="0" w:color="auto"/>
            <w:right w:val="none" w:sz="0" w:space="0" w:color="auto"/>
          </w:divBdr>
        </w:div>
        <w:div w:id="1269309617">
          <w:marLeft w:val="0"/>
          <w:marRight w:val="0"/>
          <w:marTop w:val="0"/>
          <w:marBottom w:val="0"/>
          <w:divBdr>
            <w:top w:val="none" w:sz="0" w:space="0" w:color="auto"/>
            <w:left w:val="none" w:sz="0" w:space="0" w:color="auto"/>
            <w:bottom w:val="none" w:sz="0" w:space="0" w:color="auto"/>
            <w:right w:val="none" w:sz="0" w:space="0" w:color="auto"/>
          </w:divBdr>
        </w:div>
        <w:div w:id="1219051648">
          <w:marLeft w:val="0"/>
          <w:marRight w:val="0"/>
          <w:marTop w:val="0"/>
          <w:marBottom w:val="0"/>
          <w:divBdr>
            <w:top w:val="none" w:sz="0" w:space="0" w:color="auto"/>
            <w:left w:val="none" w:sz="0" w:space="0" w:color="auto"/>
            <w:bottom w:val="none" w:sz="0" w:space="0" w:color="auto"/>
            <w:right w:val="none" w:sz="0" w:space="0" w:color="auto"/>
          </w:divBdr>
        </w:div>
        <w:div w:id="246157843">
          <w:marLeft w:val="0"/>
          <w:marRight w:val="0"/>
          <w:marTop w:val="0"/>
          <w:marBottom w:val="0"/>
          <w:divBdr>
            <w:top w:val="none" w:sz="0" w:space="0" w:color="auto"/>
            <w:left w:val="none" w:sz="0" w:space="0" w:color="auto"/>
            <w:bottom w:val="none" w:sz="0" w:space="0" w:color="auto"/>
            <w:right w:val="none" w:sz="0" w:space="0" w:color="auto"/>
          </w:divBdr>
        </w:div>
        <w:div w:id="55125469">
          <w:marLeft w:val="0"/>
          <w:marRight w:val="0"/>
          <w:marTop w:val="0"/>
          <w:marBottom w:val="0"/>
          <w:divBdr>
            <w:top w:val="none" w:sz="0" w:space="0" w:color="auto"/>
            <w:left w:val="none" w:sz="0" w:space="0" w:color="auto"/>
            <w:bottom w:val="none" w:sz="0" w:space="0" w:color="auto"/>
            <w:right w:val="none" w:sz="0" w:space="0" w:color="auto"/>
          </w:divBdr>
        </w:div>
        <w:div w:id="537206489">
          <w:marLeft w:val="0"/>
          <w:marRight w:val="0"/>
          <w:marTop w:val="0"/>
          <w:marBottom w:val="0"/>
          <w:divBdr>
            <w:top w:val="none" w:sz="0" w:space="0" w:color="auto"/>
            <w:left w:val="none" w:sz="0" w:space="0" w:color="auto"/>
            <w:bottom w:val="none" w:sz="0" w:space="0" w:color="auto"/>
            <w:right w:val="none" w:sz="0" w:space="0" w:color="auto"/>
          </w:divBdr>
        </w:div>
        <w:div w:id="1884175422">
          <w:marLeft w:val="0"/>
          <w:marRight w:val="0"/>
          <w:marTop w:val="0"/>
          <w:marBottom w:val="0"/>
          <w:divBdr>
            <w:top w:val="none" w:sz="0" w:space="0" w:color="auto"/>
            <w:left w:val="none" w:sz="0" w:space="0" w:color="auto"/>
            <w:bottom w:val="none" w:sz="0" w:space="0" w:color="auto"/>
            <w:right w:val="none" w:sz="0" w:space="0" w:color="auto"/>
          </w:divBdr>
        </w:div>
        <w:div w:id="811140741">
          <w:marLeft w:val="0"/>
          <w:marRight w:val="0"/>
          <w:marTop w:val="0"/>
          <w:marBottom w:val="0"/>
          <w:divBdr>
            <w:top w:val="none" w:sz="0" w:space="0" w:color="auto"/>
            <w:left w:val="none" w:sz="0" w:space="0" w:color="auto"/>
            <w:bottom w:val="none" w:sz="0" w:space="0" w:color="auto"/>
            <w:right w:val="none" w:sz="0" w:space="0" w:color="auto"/>
          </w:divBdr>
        </w:div>
        <w:div w:id="545722885">
          <w:marLeft w:val="0"/>
          <w:marRight w:val="0"/>
          <w:marTop w:val="0"/>
          <w:marBottom w:val="0"/>
          <w:divBdr>
            <w:top w:val="none" w:sz="0" w:space="0" w:color="auto"/>
            <w:left w:val="none" w:sz="0" w:space="0" w:color="auto"/>
            <w:bottom w:val="none" w:sz="0" w:space="0" w:color="auto"/>
            <w:right w:val="none" w:sz="0" w:space="0" w:color="auto"/>
          </w:divBdr>
        </w:div>
        <w:div w:id="1371149818">
          <w:marLeft w:val="0"/>
          <w:marRight w:val="0"/>
          <w:marTop w:val="0"/>
          <w:marBottom w:val="0"/>
          <w:divBdr>
            <w:top w:val="none" w:sz="0" w:space="0" w:color="auto"/>
            <w:left w:val="none" w:sz="0" w:space="0" w:color="auto"/>
            <w:bottom w:val="none" w:sz="0" w:space="0" w:color="auto"/>
            <w:right w:val="none" w:sz="0" w:space="0" w:color="auto"/>
          </w:divBdr>
        </w:div>
        <w:div w:id="791902611">
          <w:marLeft w:val="0"/>
          <w:marRight w:val="0"/>
          <w:marTop w:val="0"/>
          <w:marBottom w:val="0"/>
          <w:divBdr>
            <w:top w:val="none" w:sz="0" w:space="0" w:color="auto"/>
            <w:left w:val="none" w:sz="0" w:space="0" w:color="auto"/>
            <w:bottom w:val="none" w:sz="0" w:space="0" w:color="auto"/>
            <w:right w:val="none" w:sz="0" w:space="0" w:color="auto"/>
          </w:divBdr>
        </w:div>
        <w:div w:id="421798058">
          <w:marLeft w:val="0"/>
          <w:marRight w:val="0"/>
          <w:marTop w:val="0"/>
          <w:marBottom w:val="0"/>
          <w:divBdr>
            <w:top w:val="none" w:sz="0" w:space="0" w:color="auto"/>
            <w:left w:val="none" w:sz="0" w:space="0" w:color="auto"/>
            <w:bottom w:val="none" w:sz="0" w:space="0" w:color="auto"/>
            <w:right w:val="none" w:sz="0" w:space="0" w:color="auto"/>
          </w:divBdr>
        </w:div>
        <w:div w:id="862937975">
          <w:marLeft w:val="0"/>
          <w:marRight w:val="0"/>
          <w:marTop w:val="0"/>
          <w:marBottom w:val="0"/>
          <w:divBdr>
            <w:top w:val="none" w:sz="0" w:space="0" w:color="auto"/>
            <w:left w:val="none" w:sz="0" w:space="0" w:color="auto"/>
            <w:bottom w:val="none" w:sz="0" w:space="0" w:color="auto"/>
            <w:right w:val="none" w:sz="0" w:space="0" w:color="auto"/>
          </w:divBdr>
        </w:div>
        <w:div w:id="1983344729">
          <w:marLeft w:val="0"/>
          <w:marRight w:val="0"/>
          <w:marTop w:val="0"/>
          <w:marBottom w:val="0"/>
          <w:divBdr>
            <w:top w:val="none" w:sz="0" w:space="0" w:color="auto"/>
            <w:left w:val="none" w:sz="0" w:space="0" w:color="auto"/>
            <w:bottom w:val="none" w:sz="0" w:space="0" w:color="auto"/>
            <w:right w:val="none" w:sz="0" w:space="0" w:color="auto"/>
          </w:divBdr>
        </w:div>
        <w:div w:id="514420618">
          <w:marLeft w:val="0"/>
          <w:marRight w:val="0"/>
          <w:marTop w:val="0"/>
          <w:marBottom w:val="0"/>
          <w:divBdr>
            <w:top w:val="none" w:sz="0" w:space="0" w:color="auto"/>
            <w:left w:val="none" w:sz="0" w:space="0" w:color="auto"/>
            <w:bottom w:val="none" w:sz="0" w:space="0" w:color="auto"/>
            <w:right w:val="none" w:sz="0" w:space="0" w:color="auto"/>
          </w:divBdr>
        </w:div>
        <w:div w:id="738556229">
          <w:marLeft w:val="0"/>
          <w:marRight w:val="0"/>
          <w:marTop w:val="0"/>
          <w:marBottom w:val="0"/>
          <w:divBdr>
            <w:top w:val="none" w:sz="0" w:space="0" w:color="auto"/>
            <w:left w:val="none" w:sz="0" w:space="0" w:color="auto"/>
            <w:bottom w:val="none" w:sz="0" w:space="0" w:color="auto"/>
            <w:right w:val="none" w:sz="0" w:space="0" w:color="auto"/>
          </w:divBdr>
        </w:div>
        <w:div w:id="1733231521">
          <w:marLeft w:val="0"/>
          <w:marRight w:val="0"/>
          <w:marTop w:val="0"/>
          <w:marBottom w:val="0"/>
          <w:divBdr>
            <w:top w:val="none" w:sz="0" w:space="0" w:color="auto"/>
            <w:left w:val="none" w:sz="0" w:space="0" w:color="auto"/>
            <w:bottom w:val="none" w:sz="0" w:space="0" w:color="auto"/>
            <w:right w:val="none" w:sz="0" w:space="0" w:color="auto"/>
          </w:divBdr>
        </w:div>
        <w:div w:id="847333585">
          <w:marLeft w:val="0"/>
          <w:marRight w:val="0"/>
          <w:marTop w:val="0"/>
          <w:marBottom w:val="0"/>
          <w:divBdr>
            <w:top w:val="none" w:sz="0" w:space="0" w:color="auto"/>
            <w:left w:val="none" w:sz="0" w:space="0" w:color="auto"/>
            <w:bottom w:val="none" w:sz="0" w:space="0" w:color="auto"/>
            <w:right w:val="none" w:sz="0" w:space="0" w:color="auto"/>
          </w:divBdr>
        </w:div>
        <w:div w:id="361782344">
          <w:marLeft w:val="0"/>
          <w:marRight w:val="0"/>
          <w:marTop w:val="0"/>
          <w:marBottom w:val="0"/>
          <w:divBdr>
            <w:top w:val="none" w:sz="0" w:space="0" w:color="auto"/>
            <w:left w:val="none" w:sz="0" w:space="0" w:color="auto"/>
            <w:bottom w:val="none" w:sz="0" w:space="0" w:color="auto"/>
            <w:right w:val="none" w:sz="0" w:space="0" w:color="auto"/>
          </w:divBdr>
        </w:div>
        <w:div w:id="1717850475">
          <w:marLeft w:val="0"/>
          <w:marRight w:val="0"/>
          <w:marTop w:val="0"/>
          <w:marBottom w:val="0"/>
          <w:divBdr>
            <w:top w:val="none" w:sz="0" w:space="0" w:color="auto"/>
            <w:left w:val="none" w:sz="0" w:space="0" w:color="auto"/>
            <w:bottom w:val="none" w:sz="0" w:space="0" w:color="auto"/>
            <w:right w:val="none" w:sz="0" w:space="0" w:color="auto"/>
          </w:divBdr>
        </w:div>
        <w:div w:id="80491972">
          <w:marLeft w:val="0"/>
          <w:marRight w:val="0"/>
          <w:marTop w:val="0"/>
          <w:marBottom w:val="0"/>
          <w:divBdr>
            <w:top w:val="none" w:sz="0" w:space="0" w:color="auto"/>
            <w:left w:val="none" w:sz="0" w:space="0" w:color="auto"/>
            <w:bottom w:val="none" w:sz="0" w:space="0" w:color="auto"/>
            <w:right w:val="none" w:sz="0" w:space="0" w:color="auto"/>
          </w:divBdr>
        </w:div>
        <w:div w:id="1026444114">
          <w:marLeft w:val="0"/>
          <w:marRight w:val="0"/>
          <w:marTop w:val="0"/>
          <w:marBottom w:val="0"/>
          <w:divBdr>
            <w:top w:val="none" w:sz="0" w:space="0" w:color="auto"/>
            <w:left w:val="none" w:sz="0" w:space="0" w:color="auto"/>
            <w:bottom w:val="none" w:sz="0" w:space="0" w:color="auto"/>
            <w:right w:val="none" w:sz="0" w:space="0" w:color="auto"/>
          </w:divBdr>
        </w:div>
        <w:div w:id="451559414">
          <w:marLeft w:val="0"/>
          <w:marRight w:val="0"/>
          <w:marTop w:val="0"/>
          <w:marBottom w:val="0"/>
          <w:divBdr>
            <w:top w:val="none" w:sz="0" w:space="0" w:color="auto"/>
            <w:left w:val="none" w:sz="0" w:space="0" w:color="auto"/>
            <w:bottom w:val="none" w:sz="0" w:space="0" w:color="auto"/>
            <w:right w:val="none" w:sz="0" w:space="0" w:color="auto"/>
          </w:divBdr>
        </w:div>
        <w:div w:id="1766537656">
          <w:marLeft w:val="0"/>
          <w:marRight w:val="0"/>
          <w:marTop w:val="0"/>
          <w:marBottom w:val="0"/>
          <w:divBdr>
            <w:top w:val="none" w:sz="0" w:space="0" w:color="auto"/>
            <w:left w:val="none" w:sz="0" w:space="0" w:color="auto"/>
            <w:bottom w:val="none" w:sz="0" w:space="0" w:color="auto"/>
            <w:right w:val="none" w:sz="0" w:space="0" w:color="auto"/>
          </w:divBdr>
        </w:div>
        <w:div w:id="1841894249">
          <w:marLeft w:val="0"/>
          <w:marRight w:val="0"/>
          <w:marTop w:val="0"/>
          <w:marBottom w:val="0"/>
          <w:divBdr>
            <w:top w:val="none" w:sz="0" w:space="0" w:color="auto"/>
            <w:left w:val="none" w:sz="0" w:space="0" w:color="auto"/>
            <w:bottom w:val="none" w:sz="0" w:space="0" w:color="auto"/>
            <w:right w:val="none" w:sz="0" w:space="0" w:color="auto"/>
          </w:divBdr>
        </w:div>
        <w:div w:id="733428894">
          <w:marLeft w:val="0"/>
          <w:marRight w:val="0"/>
          <w:marTop w:val="0"/>
          <w:marBottom w:val="0"/>
          <w:divBdr>
            <w:top w:val="none" w:sz="0" w:space="0" w:color="auto"/>
            <w:left w:val="none" w:sz="0" w:space="0" w:color="auto"/>
            <w:bottom w:val="none" w:sz="0" w:space="0" w:color="auto"/>
            <w:right w:val="none" w:sz="0" w:space="0" w:color="auto"/>
          </w:divBdr>
        </w:div>
        <w:div w:id="216355778">
          <w:marLeft w:val="0"/>
          <w:marRight w:val="0"/>
          <w:marTop w:val="0"/>
          <w:marBottom w:val="0"/>
          <w:divBdr>
            <w:top w:val="none" w:sz="0" w:space="0" w:color="auto"/>
            <w:left w:val="none" w:sz="0" w:space="0" w:color="auto"/>
            <w:bottom w:val="none" w:sz="0" w:space="0" w:color="auto"/>
            <w:right w:val="none" w:sz="0" w:space="0" w:color="auto"/>
          </w:divBdr>
        </w:div>
        <w:div w:id="1688173947">
          <w:marLeft w:val="0"/>
          <w:marRight w:val="0"/>
          <w:marTop w:val="0"/>
          <w:marBottom w:val="0"/>
          <w:divBdr>
            <w:top w:val="none" w:sz="0" w:space="0" w:color="auto"/>
            <w:left w:val="none" w:sz="0" w:space="0" w:color="auto"/>
            <w:bottom w:val="none" w:sz="0" w:space="0" w:color="auto"/>
            <w:right w:val="none" w:sz="0" w:space="0" w:color="auto"/>
          </w:divBdr>
        </w:div>
        <w:div w:id="338972831">
          <w:marLeft w:val="0"/>
          <w:marRight w:val="0"/>
          <w:marTop w:val="0"/>
          <w:marBottom w:val="0"/>
          <w:divBdr>
            <w:top w:val="none" w:sz="0" w:space="0" w:color="auto"/>
            <w:left w:val="none" w:sz="0" w:space="0" w:color="auto"/>
            <w:bottom w:val="none" w:sz="0" w:space="0" w:color="auto"/>
            <w:right w:val="none" w:sz="0" w:space="0" w:color="auto"/>
          </w:divBdr>
        </w:div>
        <w:div w:id="169952272">
          <w:marLeft w:val="0"/>
          <w:marRight w:val="0"/>
          <w:marTop w:val="0"/>
          <w:marBottom w:val="0"/>
          <w:divBdr>
            <w:top w:val="none" w:sz="0" w:space="0" w:color="auto"/>
            <w:left w:val="none" w:sz="0" w:space="0" w:color="auto"/>
            <w:bottom w:val="none" w:sz="0" w:space="0" w:color="auto"/>
            <w:right w:val="none" w:sz="0" w:space="0" w:color="auto"/>
          </w:divBdr>
        </w:div>
        <w:div w:id="1101529371">
          <w:marLeft w:val="0"/>
          <w:marRight w:val="0"/>
          <w:marTop w:val="0"/>
          <w:marBottom w:val="0"/>
          <w:divBdr>
            <w:top w:val="none" w:sz="0" w:space="0" w:color="auto"/>
            <w:left w:val="none" w:sz="0" w:space="0" w:color="auto"/>
            <w:bottom w:val="none" w:sz="0" w:space="0" w:color="auto"/>
            <w:right w:val="none" w:sz="0" w:space="0" w:color="auto"/>
          </w:divBdr>
        </w:div>
        <w:div w:id="1789006392">
          <w:marLeft w:val="0"/>
          <w:marRight w:val="0"/>
          <w:marTop w:val="0"/>
          <w:marBottom w:val="0"/>
          <w:divBdr>
            <w:top w:val="none" w:sz="0" w:space="0" w:color="auto"/>
            <w:left w:val="none" w:sz="0" w:space="0" w:color="auto"/>
            <w:bottom w:val="none" w:sz="0" w:space="0" w:color="auto"/>
            <w:right w:val="none" w:sz="0" w:space="0" w:color="auto"/>
          </w:divBdr>
        </w:div>
        <w:div w:id="1907254626">
          <w:marLeft w:val="0"/>
          <w:marRight w:val="0"/>
          <w:marTop w:val="0"/>
          <w:marBottom w:val="0"/>
          <w:divBdr>
            <w:top w:val="none" w:sz="0" w:space="0" w:color="auto"/>
            <w:left w:val="none" w:sz="0" w:space="0" w:color="auto"/>
            <w:bottom w:val="none" w:sz="0" w:space="0" w:color="auto"/>
            <w:right w:val="none" w:sz="0" w:space="0" w:color="auto"/>
          </w:divBdr>
        </w:div>
        <w:div w:id="78525065">
          <w:marLeft w:val="0"/>
          <w:marRight w:val="0"/>
          <w:marTop w:val="0"/>
          <w:marBottom w:val="0"/>
          <w:divBdr>
            <w:top w:val="none" w:sz="0" w:space="0" w:color="auto"/>
            <w:left w:val="none" w:sz="0" w:space="0" w:color="auto"/>
            <w:bottom w:val="none" w:sz="0" w:space="0" w:color="auto"/>
            <w:right w:val="none" w:sz="0" w:space="0" w:color="auto"/>
          </w:divBdr>
        </w:div>
        <w:div w:id="1195845186">
          <w:marLeft w:val="0"/>
          <w:marRight w:val="0"/>
          <w:marTop w:val="0"/>
          <w:marBottom w:val="0"/>
          <w:divBdr>
            <w:top w:val="none" w:sz="0" w:space="0" w:color="auto"/>
            <w:left w:val="none" w:sz="0" w:space="0" w:color="auto"/>
            <w:bottom w:val="none" w:sz="0" w:space="0" w:color="auto"/>
            <w:right w:val="none" w:sz="0" w:space="0" w:color="auto"/>
          </w:divBdr>
        </w:div>
        <w:div w:id="1306349931">
          <w:marLeft w:val="0"/>
          <w:marRight w:val="0"/>
          <w:marTop w:val="0"/>
          <w:marBottom w:val="0"/>
          <w:divBdr>
            <w:top w:val="none" w:sz="0" w:space="0" w:color="auto"/>
            <w:left w:val="none" w:sz="0" w:space="0" w:color="auto"/>
            <w:bottom w:val="none" w:sz="0" w:space="0" w:color="auto"/>
            <w:right w:val="none" w:sz="0" w:space="0" w:color="auto"/>
          </w:divBdr>
        </w:div>
        <w:div w:id="349184104">
          <w:marLeft w:val="0"/>
          <w:marRight w:val="0"/>
          <w:marTop w:val="0"/>
          <w:marBottom w:val="0"/>
          <w:divBdr>
            <w:top w:val="none" w:sz="0" w:space="0" w:color="auto"/>
            <w:left w:val="none" w:sz="0" w:space="0" w:color="auto"/>
            <w:bottom w:val="none" w:sz="0" w:space="0" w:color="auto"/>
            <w:right w:val="none" w:sz="0" w:space="0" w:color="auto"/>
          </w:divBdr>
        </w:div>
        <w:div w:id="1060784653">
          <w:marLeft w:val="0"/>
          <w:marRight w:val="0"/>
          <w:marTop w:val="0"/>
          <w:marBottom w:val="0"/>
          <w:divBdr>
            <w:top w:val="none" w:sz="0" w:space="0" w:color="auto"/>
            <w:left w:val="none" w:sz="0" w:space="0" w:color="auto"/>
            <w:bottom w:val="none" w:sz="0" w:space="0" w:color="auto"/>
            <w:right w:val="none" w:sz="0" w:space="0" w:color="auto"/>
          </w:divBdr>
        </w:div>
        <w:div w:id="2011715609">
          <w:marLeft w:val="0"/>
          <w:marRight w:val="0"/>
          <w:marTop w:val="0"/>
          <w:marBottom w:val="0"/>
          <w:divBdr>
            <w:top w:val="none" w:sz="0" w:space="0" w:color="auto"/>
            <w:left w:val="none" w:sz="0" w:space="0" w:color="auto"/>
            <w:bottom w:val="none" w:sz="0" w:space="0" w:color="auto"/>
            <w:right w:val="none" w:sz="0" w:space="0" w:color="auto"/>
          </w:divBdr>
        </w:div>
        <w:div w:id="1256816554">
          <w:marLeft w:val="0"/>
          <w:marRight w:val="0"/>
          <w:marTop w:val="0"/>
          <w:marBottom w:val="0"/>
          <w:divBdr>
            <w:top w:val="none" w:sz="0" w:space="0" w:color="auto"/>
            <w:left w:val="none" w:sz="0" w:space="0" w:color="auto"/>
            <w:bottom w:val="none" w:sz="0" w:space="0" w:color="auto"/>
            <w:right w:val="none" w:sz="0" w:space="0" w:color="auto"/>
          </w:divBdr>
        </w:div>
        <w:div w:id="1032724394">
          <w:marLeft w:val="0"/>
          <w:marRight w:val="0"/>
          <w:marTop w:val="0"/>
          <w:marBottom w:val="0"/>
          <w:divBdr>
            <w:top w:val="none" w:sz="0" w:space="0" w:color="auto"/>
            <w:left w:val="none" w:sz="0" w:space="0" w:color="auto"/>
            <w:bottom w:val="none" w:sz="0" w:space="0" w:color="auto"/>
            <w:right w:val="none" w:sz="0" w:space="0" w:color="auto"/>
          </w:divBdr>
        </w:div>
        <w:div w:id="1327054854">
          <w:marLeft w:val="0"/>
          <w:marRight w:val="0"/>
          <w:marTop w:val="0"/>
          <w:marBottom w:val="0"/>
          <w:divBdr>
            <w:top w:val="none" w:sz="0" w:space="0" w:color="auto"/>
            <w:left w:val="none" w:sz="0" w:space="0" w:color="auto"/>
            <w:bottom w:val="none" w:sz="0" w:space="0" w:color="auto"/>
            <w:right w:val="none" w:sz="0" w:space="0" w:color="auto"/>
          </w:divBdr>
        </w:div>
        <w:div w:id="1363240762">
          <w:marLeft w:val="0"/>
          <w:marRight w:val="0"/>
          <w:marTop w:val="0"/>
          <w:marBottom w:val="0"/>
          <w:divBdr>
            <w:top w:val="none" w:sz="0" w:space="0" w:color="auto"/>
            <w:left w:val="none" w:sz="0" w:space="0" w:color="auto"/>
            <w:bottom w:val="none" w:sz="0" w:space="0" w:color="auto"/>
            <w:right w:val="none" w:sz="0" w:space="0" w:color="auto"/>
          </w:divBdr>
        </w:div>
        <w:div w:id="889418703">
          <w:marLeft w:val="0"/>
          <w:marRight w:val="0"/>
          <w:marTop w:val="0"/>
          <w:marBottom w:val="0"/>
          <w:divBdr>
            <w:top w:val="none" w:sz="0" w:space="0" w:color="auto"/>
            <w:left w:val="none" w:sz="0" w:space="0" w:color="auto"/>
            <w:bottom w:val="none" w:sz="0" w:space="0" w:color="auto"/>
            <w:right w:val="none" w:sz="0" w:space="0" w:color="auto"/>
          </w:divBdr>
        </w:div>
        <w:div w:id="2134785267">
          <w:marLeft w:val="0"/>
          <w:marRight w:val="0"/>
          <w:marTop w:val="0"/>
          <w:marBottom w:val="0"/>
          <w:divBdr>
            <w:top w:val="none" w:sz="0" w:space="0" w:color="auto"/>
            <w:left w:val="none" w:sz="0" w:space="0" w:color="auto"/>
            <w:bottom w:val="none" w:sz="0" w:space="0" w:color="auto"/>
            <w:right w:val="none" w:sz="0" w:space="0" w:color="auto"/>
          </w:divBdr>
        </w:div>
        <w:div w:id="1086608795">
          <w:marLeft w:val="0"/>
          <w:marRight w:val="0"/>
          <w:marTop w:val="0"/>
          <w:marBottom w:val="0"/>
          <w:divBdr>
            <w:top w:val="none" w:sz="0" w:space="0" w:color="auto"/>
            <w:left w:val="none" w:sz="0" w:space="0" w:color="auto"/>
            <w:bottom w:val="none" w:sz="0" w:space="0" w:color="auto"/>
            <w:right w:val="none" w:sz="0" w:space="0" w:color="auto"/>
          </w:divBdr>
        </w:div>
        <w:div w:id="1299646251">
          <w:marLeft w:val="0"/>
          <w:marRight w:val="0"/>
          <w:marTop w:val="0"/>
          <w:marBottom w:val="0"/>
          <w:divBdr>
            <w:top w:val="none" w:sz="0" w:space="0" w:color="auto"/>
            <w:left w:val="none" w:sz="0" w:space="0" w:color="auto"/>
            <w:bottom w:val="none" w:sz="0" w:space="0" w:color="auto"/>
            <w:right w:val="none" w:sz="0" w:space="0" w:color="auto"/>
          </w:divBdr>
        </w:div>
        <w:div w:id="240068394">
          <w:marLeft w:val="0"/>
          <w:marRight w:val="0"/>
          <w:marTop w:val="0"/>
          <w:marBottom w:val="0"/>
          <w:divBdr>
            <w:top w:val="none" w:sz="0" w:space="0" w:color="auto"/>
            <w:left w:val="none" w:sz="0" w:space="0" w:color="auto"/>
            <w:bottom w:val="none" w:sz="0" w:space="0" w:color="auto"/>
            <w:right w:val="none" w:sz="0" w:space="0" w:color="auto"/>
          </w:divBdr>
        </w:div>
        <w:div w:id="232663428">
          <w:marLeft w:val="0"/>
          <w:marRight w:val="0"/>
          <w:marTop w:val="0"/>
          <w:marBottom w:val="0"/>
          <w:divBdr>
            <w:top w:val="none" w:sz="0" w:space="0" w:color="auto"/>
            <w:left w:val="none" w:sz="0" w:space="0" w:color="auto"/>
            <w:bottom w:val="none" w:sz="0" w:space="0" w:color="auto"/>
            <w:right w:val="none" w:sz="0" w:space="0" w:color="auto"/>
          </w:divBdr>
        </w:div>
        <w:div w:id="1020199569">
          <w:marLeft w:val="0"/>
          <w:marRight w:val="0"/>
          <w:marTop w:val="0"/>
          <w:marBottom w:val="0"/>
          <w:divBdr>
            <w:top w:val="none" w:sz="0" w:space="0" w:color="auto"/>
            <w:left w:val="none" w:sz="0" w:space="0" w:color="auto"/>
            <w:bottom w:val="none" w:sz="0" w:space="0" w:color="auto"/>
            <w:right w:val="none" w:sz="0" w:space="0" w:color="auto"/>
          </w:divBdr>
        </w:div>
        <w:div w:id="1968126048">
          <w:marLeft w:val="0"/>
          <w:marRight w:val="0"/>
          <w:marTop w:val="0"/>
          <w:marBottom w:val="0"/>
          <w:divBdr>
            <w:top w:val="none" w:sz="0" w:space="0" w:color="auto"/>
            <w:left w:val="none" w:sz="0" w:space="0" w:color="auto"/>
            <w:bottom w:val="none" w:sz="0" w:space="0" w:color="auto"/>
            <w:right w:val="none" w:sz="0" w:space="0" w:color="auto"/>
          </w:divBdr>
        </w:div>
        <w:div w:id="1529493136">
          <w:marLeft w:val="0"/>
          <w:marRight w:val="0"/>
          <w:marTop w:val="0"/>
          <w:marBottom w:val="0"/>
          <w:divBdr>
            <w:top w:val="none" w:sz="0" w:space="0" w:color="auto"/>
            <w:left w:val="none" w:sz="0" w:space="0" w:color="auto"/>
            <w:bottom w:val="none" w:sz="0" w:space="0" w:color="auto"/>
            <w:right w:val="none" w:sz="0" w:space="0" w:color="auto"/>
          </w:divBdr>
        </w:div>
        <w:div w:id="1534267421">
          <w:marLeft w:val="0"/>
          <w:marRight w:val="0"/>
          <w:marTop w:val="0"/>
          <w:marBottom w:val="0"/>
          <w:divBdr>
            <w:top w:val="none" w:sz="0" w:space="0" w:color="auto"/>
            <w:left w:val="none" w:sz="0" w:space="0" w:color="auto"/>
            <w:bottom w:val="none" w:sz="0" w:space="0" w:color="auto"/>
            <w:right w:val="none" w:sz="0" w:space="0" w:color="auto"/>
          </w:divBdr>
        </w:div>
        <w:div w:id="986739901">
          <w:marLeft w:val="0"/>
          <w:marRight w:val="0"/>
          <w:marTop w:val="0"/>
          <w:marBottom w:val="0"/>
          <w:divBdr>
            <w:top w:val="none" w:sz="0" w:space="0" w:color="auto"/>
            <w:left w:val="none" w:sz="0" w:space="0" w:color="auto"/>
            <w:bottom w:val="none" w:sz="0" w:space="0" w:color="auto"/>
            <w:right w:val="none" w:sz="0" w:space="0" w:color="auto"/>
          </w:divBdr>
        </w:div>
        <w:div w:id="736630528">
          <w:marLeft w:val="0"/>
          <w:marRight w:val="0"/>
          <w:marTop w:val="0"/>
          <w:marBottom w:val="0"/>
          <w:divBdr>
            <w:top w:val="none" w:sz="0" w:space="0" w:color="auto"/>
            <w:left w:val="none" w:sz="0" w:space="0" w:color="auto"/>
            <w:bottom w:val="none" w:sz="0" w:space="0" w:color="auto"/>
            <w:right w:val="none" w:sz="0" w:space="0" w:color="auto"/>
          </w:divBdr>
        </w:div>
        <w:div w:id="1645113042">
          <w:marLeft w:val="0"/>
          <w:marRight w:val="0"/>
          <w:marTop w:val="0"/>
          <w:marBottom w:val="0"/>
          <w:divBdr>
            <w:top w:val="none" w:sz="0" w:space="0" w:color="auto"/>
            <w:left w:val="none" w:sz="0" w:space="0" w:color="auto"/>
            <w:bottom w:val="none" w:sz="0" w:space="0" w:color="auto"/>
            <w:right w:val="none" w:sz="0" w:space="0" w:color="auto"/>
          </w:divBdr>
        </w:div>
        <w:div w:id="245116277">
          <w:marLeft w:val="0"/>
          <w:marRight w:val="0"/>
          <w:marTop w:val="0"/>
          <w:marBottom w:val="0"/>
          <w:divBdr>
            <w:top w:val="none" w:sz="0" w:space="0" w:color="auto"/>
            <w:left w:val="none" w:sz="0" w:space="0" w:color="auto"/>
            <w:bottom w:val="none" w:sz="0" w:space="0" w:color="auto"/>
            <w:right w:val="none" w:sz="0" w:space="0" w:color="auto"/>
          </w:divBdr>
        </w:div>
        <w:div w:id="1685747167">
          <w:marLeft w:val="0"/>
          <w:marRight w:val="0"/>
          <w:marTop w:val="0"/>
          <w:marBottom w:val="0"/>
          <w:divBdr>
            <w:top w:val="none" w:sz="0" w:space="0" w:color="auto"/>
            <w:left w:val="none" w:sz="0" w:space="0" w:color="auto"/>
            <w:bottom w:val="none" w:sz="0" w:space="0" w:color="auto"/>
            <w:right w:val="none" w:sz="0" w:space="0" w:color="auto"/>
          </w:divBdr>
        </w:div>
        <w:div w:id="93408584">
          <w:marLeft w:val="0"/>
          <w:marRight w:val="0"/>
          <w:marTop w:val="0"/>
          <w:marBottom w:val="0"/>
          <w:divBdr>
            <w:top w:val="none" w:sz="0" w:space="0" w:color="auto"/>
            <w:left w:val="none" w:sz="0" w:space="0" w:color="auto"/>
            <w:bottom w:val="none" w:sz="0" w:space="0" w:color="auto"/>
            <w:right w:val="none" w:sz="0" w:space="0" w:color="auto"/>
          </w:divBdr>
        </w:div>
        <w:div w:id="1457872568">
          <w:marLeft w:val="0"/>
          <w:marRight w:val="0"/>
          <w:marTop w:val="0"/>
          <w:marBottom w:val="0"/>
          <w:divBdr>
            <w:top w:val="none" w:sz="0" w:space="0" w:color="auto"/>
            <w:left w:val="none" w:sz="0" w:space="0" w:color="auto"/>
            <w:bottom w:val="none" w:sz="0" w:space="0" w:color="auto"/>
            <w:right w:val="none" w:sz="0" w:space="0" w:color="auto"/>
          </w:divBdr>
        </w:div>
        <w:div w:id="1368917686">
          <w:marLeft w:val="0"/>
          <w:marRight w:val="0"/>
          <w:marTop w:val="0"/>
          <w:marBottom w:val="0"/>
          <w:divBdr>
            <w:top w:val="none" w:sz="0" w:space="0" w:color="auto"/>
            <w:left w:val="none" w:sz="0" w:space="0" w:color="auto"/>
            <w:bottom w:val="none" w:sz="0" w:space="0" w:color="auto"/>
            <w:right w:val="none" w:sz="0" w:space="0" w:color="auto"/>
          </w:divBdr>
        </w:div>
        <w:div w:id="1825780563">
          <w:marLeft w:val="0"/>
          <w:marRight w:val="0"/>
          <w:marTop w:val="0"/>
          <w:marBottom w:val="0"/>
          <w:divBdr>
            <w:top w:val="none" w:sz="0" w:space="0" w:color="auto"/>
            <w:left w:val="none" w:sz="0" w:space="0" w:color="auto"/>
            <w:bottom w:val="none" w:sz="0" w:space="0" w:color="auto"/>
            <w:right w:val="none" w:sz="0" w:space="0" w:color="auto"/>
          </w:divBdr>
        </w:div>
        <w:div w:id="251548128">
          <w:marLeft w:val="0"/>
          <w:marRight w:val="0"/>
          <w:marTop w:val="0"/>
          <w:marBottom w:val="0"/>
          <w:divBdr>
            <w:top w:val="none" w:sz="0" w:space="0" w:color="auto"/>
            <w:left w:val="none" w:sz="0" w:space="0" w:color="auto"/>
            <w:bottom w:val="none" w:sz="0" w:space="0" w:color="auto"/>
            <w:right w:val="none" w:sz="0" w:space="0" w:color="auto"/>
          </w:divBdr>
        </w:div>
        <w:div w:id="675159715">
          <w:marLeft w:val="0"/>
          <w:marRight w:val="0"/>
          <w:marTop w:val="0"/>
          <w:marBottom w:val="0"/>
          <w:divBdr>
            <w:top w:val="none" w:sz="0" w:space="0" w:color="auto"/>
            <w:left w:val="none" w:sz="0" w:space="0" w:color="auto"/>
            <w:bottom w:val="none" w:sz="0" w:space="0" w:color="auto"/>
            <w:right w:val="none" w:sz="0" w:space="0" w:color="auto"/>
          </w:divBdr>
        </w:div>
        <w:div w:id="1981962654">
          <w:marLeft w:val="0"/>
          <w:marRight w:val="0"/>
          <w:marTop w:val="0"/>
          <w:marBottom w:val="0"/>
          <w:divBdr>
            <w:top w:val="none" w:sz="0" w:space="0" w:color="auto"/>
            <w:left w:val="none" w:sz="0" w:space="0" w:color="auto"/>
            <w:bottom w:val="none" w:sz="0" w:space="0" w:color="auto"/>
            <w:right w:val="none" w:sz="0" w:space="0" w:color="auto"/>
          </w:divBdr>
        </w:div>
        <w:div w:id="789594793">
          <w:marLeft w:val="0"/>
          <w:marRight w:val="0"/>
          <w:marTop w:val="0"/>
          <w:marBottom w:val="0"/>
          <w:divBdr>
            <w:top w:val="none" w:sz="0" w:space="0" w:color="auto"/>
            <w:left w:val="none" w:sz="0" w:space="0" w:color="auto"/>
            <w:bottom w:val="none" w:sz="0" w:space="0" w:color="auto"/>
            <w:right w:val="none" w:sz="0" w:space="0" w:color="auto"/>
          </w:divBdr>
        </w:div>
        <w:div w:id="1748762736">
          <w:marLeft w:val="0"/>
          <w:marRight w:val="0"/>
          <w:marTop w:val="0"/>
          <w:marBottom w:val="0"/>
          <w:divBdr>
            <w:top w:val="none" w:sz="0" w:space="0" w:color="auto"/>
            <w:left w:val="none" w:sz="0" w:space="0" w:color="auto"/>
            <w:bottom w:val="none" w:sz="0" w:space="0" w:color="auto"/>
            <w:right w:val="none" w:sz="0" w:space="0" w:color="auto"/>
          </w:divBdr>
        </w:div>
        <w:div w:id="1123309835">
          <w:marLeft w:val="0"/>
          <w:marRight w:val="0"/>
          <w:marTop w:val="0"/>
          <w:marBottom w:val="0"/>
          <w:divBdr>
            <w:top w:val="none" w:sz="0" w:space="0" w:color="auto"/>
            <w:left w:val="none" w:sz="0" w:space="0" w:color="auto"/>
            <w:bottom w:val="none" w:sz="0" w:space="0" w:color="auto"/>
            <w:right w:val="none" w:sz="0" w:space="0" w:color="auto"/>
          </w:divBdr>
        </w:div>
        <w:div w:id="422146076">
          <w:marLeft w:val="0"/>
          <w:marRight w:val="0"/>
          <w:marTop w:val="0"/>
          <w:marBottom w:val="0"/>
          <w:divBdr>
            <w:top w:val="none" w:sz="0" w:space="0" w:color="auto"/>
            <w:left w:val="none" w:sz="0" w:space="0" w:color="auto"/>
            <w:bottom w:val="none" w:sz="0" w:space="0" w:color="auto"/>
            <w:right w:val="none" w:sz="0" w:space="0" w:color="auto"/>
          </w:divBdr>
        </w:div>
        <w:div w:id="2034841831">
          <w:marLeft w:val="0"/>
          <w:marRight w:val="0"/>
          <w:marTop w:val="0"/>
          <w:marBottom w:val="0"/>
          <w:divBdr>
            <w:top w:val="none" w:sz="0" w:space="0" w:color="auto"/>
            <w:left w:val="none" w:sz="0" w:space="0" w:color="auto"/>
            <w:bottom w:val="none" w:sz="0" w:space="0" w:color="auto"/>
            <w:right w:val="none" w:sz="0" w:space="0" w:color="auto"/>
          </w:divBdr>
        </w:div>
        <w:div w:id="128132276">
          <w:marLeft w:val="0"/>
          <w:marRight w:val="0"/>
          <w:marTop w:val="0"/>
          <w:marBottom w:val="0"/>
          <w:divBdr>
            <w:top w:val="none" w:sz="0" w:space="0" w:color="auto"/>
            <w:left w:val="none" w:sz="0" w:space="0" w:color="auto"/>
            <w:bottom w:val="none" w:sz="0" w:space="0" w:color="auto"/>
            <w:right w:val="none" w:sz="0" w:space="0" w:color="auto"/>
          </w:divBdr>
        </w:div>
        <w:div w:id="505479373">
          <w:marLeft w:val="0"/>
          <w:marRight w:val="0"/>
          <w:marTop w:val="0"/>
          <w:marBottom w:val="0"/>
          <w:divBdr>
            <w:top w:val="none" w:sz="0" w:space="0" w:color="auto"/>
            <w:left w:val="none" w:sz="0" w:space="0" w:color="auto"/>
            <w:bottom w:val="none" w:sz="0" w:space="0" w:color="auto"/>
            <w:right w:val="none" w:sz="0" w:space="0" w:color="auto"/>
          </w:divBdr>
        </w:div>
        <w:div w:id="1318458111">
          <w:marLeft w:val="0"/>
          <w:marRight w:val="0"/>
          <w:marTop w:val="0"/>
          <w:marBottom w:val="0"/>
          <w:divBdr>
            <w:top w:val="none" w:sz="0" w:space="0" w:color="auto"/>
            <w:left w:val="none" w:sz="0" w:space="0" w:color="auto"/>
            <w:bottom w:val="none" w:sz="0" w:space="0" w:color="auto"/>
            <w:right w:val="none" w:sz="0" w:space="0" w:color="auto"/>
          </w:divBdr>
        </w:div>
        <w:div w:id="1213880002">
          <w:marLeft w:val="0"/>
          <w:marRight w:val="0"/>
          <w:marTop w:val="0"/>
          <w:marBottom w:val="0"/>
          <w:divBdr>
            <w:top w:val="none" w:sz="0" w:space="0" w:color="auto"/>
            <w:left w:val="none" w:sz="0" w:space="0" w:color="auto"/>
            <w:bottom w:val="none" w:sz="0" w:space="0" w:color="auto"/>
            <w:right w:val="none" w:sz="0" w:space="0" w:color="auto"/>
          </w:divBdr>
        </w:div>
        <w:div w:id="1726299318">
          <w:marLeft w:val="0"/>
          <w:marRight w:val="0"/>
          <w:marTop w:val="0"/>
          <w:marBottom w:val="0"/>
          <w:divBdr>
            <w:top w:val="none" w:sz="0" w:space="0" w:color="auto"/>
            <w:left w:val="none" w:sz="0" w:space="0" w:color="auto"/>
            <w:bottom w:val="none" w:sz="0" w:space="0" w:color="auto"/>
            <w:right w:val="none" w:sz="0" w:space="0" w:color="auto"/>
          </w:divBdr>
        </w:div>
        <w:div w:id="775709471">
          <w:marLeft w:val="0"/>
          <w:marRight w:val="0"/>
          <w:marTop w:val="0"/>
          <w:marBottom w:val="0"/>
          <w:divBdr>
            <w:top w:val="none" w:sz="0" w:space="0" w:color="auto"/>
            <w:left w:val="none" w:sz="0" w:space="0" w:color="auto"/>
            <w:bottom w:val="none" w:sz="0" w:space="0" w:color="auto"/>
            <w:right w:val="none" w:sz="0" w:space="0" w:color="auto"/>
          </w:divBdr>
        </w:div>
        <w:div w:id="1332754379">
          <w:marLeft w:val="0"/>
          <w:marRight w:val="0"/>
          <w:marTop w:val="0"/>
          <w:marBottom w:val="0"/>
          <w:divBdr>
            <w:top w:val="none" w:sz="0" w:space="0" w:color="auto"/>
            <w:left w:val="none" w:sz="0" w:space="0" w:color="auto"/>
            <w:bottom w:val="none" w:sz="0" w:space="0" w:color="auto"/>
            <w:right w:val="none" w:sz="0" w:space="0" w:color="auto"/>
          </w:divBdr>
        </w:div>
        <w:div w:id="193351047">
          <w:marLeft w:val="0"/>
          <w:marRight w:val="0"/>
          <w:marTop w:val="0"/>
          <w:marBottom w:val="0"/>
          <w:divBdr>
            <w:top w:val="none" w:sz="0" w:space="0" w:color="auto"/>
            <w:left w:val="none" w:sz="0" w:space="0" w:color="auto"/>
            <w:bottom w:val="none" w:sz="0" w:space="0" w:color="auto"/>
            <w:right w:val="none" w:sz="0" w:space="0" w:color="auto"/>
          </w:divBdr>
        </w:div>
        <w:div w:id="1406686797">
          <w:marLeft w:val="0"/>
          <w:marRight w:val="0"/>
          <w:marTop w:val="0"/>
          <w:marBottom w:val="0"/>
          <w:divBdr>
            <w:top w:val="none" w:sz="0" w:space="0" w:color="auto"/>
            <w:left w:val="none" w:sz="0" w:space="0" w:color="auto"/>
            <w:bottom w:val="none" w:sz="0" w:space="0" w:color="auto"/>
            <w:right w:val="none" w:sz="0" w:space="0" w:color="auto"/>
          </w:divBdr>
        </w:div>
        <w:div w:id="1505510336">
          <w:marLeft w:val="0"/>
          <w:marRight w:val="0"/>
          <w:marTop w:val="0"/>
          <w:marBottom w:val="0"/>
          <w:divBdr>
            <w:top w:val="none" w:sz="0" w:space="0" w:color="auto"/>
            <w:left w:val="none" w:sz="0" w:space="0" w:color="auto"/>
            <w:bottom w:val="none" w:sz="0" w:space="0" w:color="auto"/>
            <w:right w:val="none" w:sz="0" w:space="0" w:color="auto"/>
          </w:divBdr>
        </w:div>
        <w:div w:id="1181970074">
          <w:marLeft w:val="0"/>
          <w:marRight w:val="0"/>
          <w:marTop w:val="0"/>
          <w:marBottom w:val="0"/>
          <w:divBdr>
            <w:top w:val="none" w:sz="0" w:space="0" w:color="auto"/>
            <w:left w:val="none" w:sz="0" w:space="0" w:color="auto"/>
            <w:bottom w:val="none" w:sz="0" w:space="0" w:color="auto"/>
            <w:right w:val="none" w:sz="0" w:space="0" w:color="auto"/>
          </w:divBdr>
        </w:div>
        <w:div w:id="701783076">
          <w:marLeft w:val="0"/>
          <w:marRight w:val="0"/>
          <w:marTop w:val="0"/>
          <w:marBottom w:val="0"/>
          <w:divBdr>
            <w:top w:val="none" w:sz="0" w:space="0" w:color="auto"/>
            <w:left w:val="none" w:sz="0" w:space="0" w:color="auto"/>
            <w:bottom w:val="none" w:sz="0" w:space="0" w:color="auto"/>
            <w:right w:val="none" w:sz="0" w:space="0" w:color="auto"/>
          </w:divBdr>
        </w:div>
        <w:div w:id="1906378817">
          <w:marLeft w:val="0"/>
          <w:marRight w:val="0"/>
          <w:marTop w:val="0"/>
          <w:marBottom w:val="0"/>
          <w:divBdr>
            <w:top w:val="none" w:sz="0" w:space="0" w:color="auto"/>
            <w:left w:val="none" w:sz="0" w:space="0" w:color="auto"/>
            <w:bottom w:val="none" w:sz="0" w:space="0" w:color="auto"/>
            <w:right w:val="none" w:sz="0" w:space="0" w:color="auto"/>
          </w:divBdr>
        </w:div>
        <w:div w:id="1033337265">
          <w:marLeft w:val="0"/>
          <w:marRight w:val="0"/>
          <w:marTop w:val="0"/>
          <w:marBottom w:val="0"/>
          <w:divBdr>
            <w:top w:val="none" w:sz="0" w:space="0" w:color="auto"/>
            <w:left w:val="none" w:sz="0" w:space="0" w:color="auto"/>
            <w:bottom w:val="none" w:sz="0" w:space="0" w:color="auto"/>
            <w:right w:val="none" w:sz="0" w:space="0" w:color="auto"/>
          </w:divBdr>
        </w:div>
        <w:div w:id="398141511">
          <w:marLeft w:val="0"/>
          <w:marRight w:val="0"/>
          <w:marTop w:val="0"/>
          <w:marBottom w:val="0"/>
          <w:divBdr>
            <w:top w:val="none" w:sz="0" w:space="0" w:color="auto"/>
            <w:left w:val="none" w:sz="0" w:space="0" w:color="auto"/>
            <w:bottom w:val="none" w:sz="0" w:space="0" w:color="auto"/>
            <w:right w:val="none" w:sz="0" w:space="0" w:color="auto"/>
          </w:divBdr>
        </w:div>
        <w:div w:id="1249071454">
          <w:marLeft w:val="0"/>
          <w:marRight w:val="0"/>
          <w:marTop w:val="0"/>
          <w:marBottom w:val="0"/>
          <w:divBdr>
            <w:top w:val="none" w:sz="0" w:space="0" w:color="auto"/>
            <w:left w:val="none" w:sz="0" w:space="0" w:color="auto"/>
            <w:bottom w:val="none" w:sz="0" w:space="0" w:color="auto"/>
            <w:right w:val="none" w:sz="0" w:space="0" w:color="auto"/>
          </w:divBdr>
        </w:div>
        <w:div w:id="693380679">
          <w:marLeft w:val="0"/>
          <w:marRight w:val="0"/>
          <w:marTop w:val="0"/>
          <w:marBottom w:val="0"/>
          <w:divBdr>
            <w:top w:val="none" w:sz="0" w:space="0" w:color="auto"/>
            <w:left w:val="none" w:sz="0" w:space="0" w:color="auto"/>
            <w:bottom w:val="none" w:sz="0" w:space="0" w:color="auto"/>
            <w:right w:val="none" w:sz="0" w:space="0" w:color="auto"/>
          </w:divBdr>
        </w:div>
        <w:div w:id="325062587">
          <w:marLeft w:val="0"/>
          <w:marRight w:val="0"/>
          <w:marTop w:val="0"/>
          <w:marBottom w:val="0"/>
          <w:divBdr>
            <w:top w:val="none" w:sz="0" w:space="0" w:color="auto"/>
            <w:left w:val="none" w:sz="0" w:space="0" w:color="auto"/>
            <w:bottom w:val="none" w:sz="0" w:space="0" w:color="auto"/>
            <w:right w:val="none" w:sz="0" w:space="0" w:color="auto"/>
          </w:divBdr>
        </w:div>
        <w:div w:id="1966539250">
          <w:marLeft w:val="0"/>
          <w:marRight w:val="0"/>
          <w:marTop w:val="0"/>
          <w:marBottom w:val="0"/>
          <w:divBdr>
            <w:top w:val="none" w:sz="0" w:space="0" w:color="auto"/>
            <w:left w:val="none" w:sz="0" w:space="0" w:color="auto"/>
            <w:bottom w:val="none" w:sz="0" w:space="0" w:color="auto"/>
            <w:right w:val="none" w:sz="0" w:space="0" w:color="auto"/>
          </w:divBdr>
        </w:div>
        <w:div w:id="753212138">
          <w:marLeft w:val="0"/>
          <w:marRight w:val="0"/>
          <w:marTop w:val="0"/>
          <w:marBottom w:val="0"/>
          <w:divBdr>
            <w:top w:val="none" w:sz="0" w:space="0" w:color="auto"/>
            <w:left w:val="none" w:sz="0" w:space="0" w:color="auto"/>
            <w:bottom w:val="none" w:sz="0" w:space="0" w:color="auto"/>
            <w:right w:val="none" w:sz="0" w:space="0" w:color="auto"/>
          </w:divBdr>
        </w:div>
        <w:div w:id="486940138">
          <w:marLeft w:val="0"/>
          <w:marRight w:val="0"/>
          <w:marTop w:val="0"/>
          <w:marBottom w:val="0"/>
          <w:divBdr>
            <w:top w:val="none" w:sz="0" w:space="0" w:color="auto"/>
            <w:left w:val="none" w:sz="0" w:space="0" w:color="auto"/>
            <w:bottom w:val="none" w:sz="0" w:space="0" w:color="auto"/>
            <w:right w:val="none" w:sz="0" w:space="0" w:color="auto"/>
          </w:divBdr>
        </w:div>
        <w:div w:id="401759183">
          <w:marLeft w:val="0"/>
          <w:marRight w:val="0"/>
          <w:marTop w:val="0"/>
          <w:marBottom w:val="0"/>
          <w:divBdr>
            <w:top w:val="none" w:sz="0" w:space="0" w:color="auto"/>
            <w:left w:val="none" w:sz="0" w:space="0" w:color="auto"/>
            <w:bottom w:val="none" w:sz="0" w:space="0" w:color="auto"/>
            <w:right w:val="none" w:sz="0" w:space="0" w:color="auto"/>
          </w:divBdr>
        </w:div>
        <w:div w:id="669334156">
          <w:marLeft w:val="0"/>
          <w:marRight w:val="0"/>
          <w:marTop w:val="0"/>
          <w:marBottom w:val="0"/>
          <w:divBdr>
            <w:top w:val="none" w:sz="0" w:space="0" w:color="auto"/>
            <w:left w:val="none" w:sz="0" w:space="0" w:color="auto"/>
            <w:bottom w:val="none" w:sz="0" w:space="0" w:color="auto"/>
            <w:right w:val="none" w:sz="0" w:space="0" w:color="auto"/>
          </w:divBdr>
        </w:div>
        <w:div w:id="475680942">
          <w:marLeft w:val="0"/>
          <w:marRight w:val="0"/>
          <w:marTop w:val="0"/>
          <w:marBottom w:val="0"/>
          <w:divBdr>
            <w:top w:val="none" w:sz="0" w:space="0" w:color="auto"/>
            <w:left w:val="none" w:sz="0" w:space="0" w:color="auto"/>
            <w:bottom w:val="none" w:sz="0" w:space="0" w:color="auto"/>
            <w:right w:val="none" w:sz="0" w:space="0" w:color="auto"/>
          </w:divBdr>
        </w:div>
        <w:div w:id="1447429860">
          <w:marLeft w:val="0"/>
          <w:marRight w:val="0"/>
          <w:marTop w:val="0"/>
          <w:marBottom w:val="0"/>
          <w:divBdr>
            <w:top w:val="none" w:sz="0" w:space="0" w:color="auto"/>
            <w:left w:val="none" w:sz="0" w:space="0" w:color="auto"/>
            <w:bottom w:val="none" w:sz="0" w:space="0" w:color="auto"/>
            <w:right w:val="none" w:sz="0" w:space="0" w:color="auto"/>
          </w:divBdr>
        </w:div>
        <w:div w:id="1858234841">
          <w:marLeft w:val="0"/>
          <w:marRight w:val="0"/>
          <w:marTop w:val="0"/>
          <w:marBottom w:val="0"/>
          <w:divBdr>
            <w:top w:val="none" w:sz="0" w:space="0" w:color="auto"/>
            <w:left w:val="none" w:sz="0" w:space="0" w:color="auto"/>
            <w:bottom w:val="none" w:sz="0" w:space="0" w:color="auto"/>
            <w:right w:val="none" w:sz="0" w:space="0" w:color="auto"/>
          </w:divBdr>
        </w:div>
        <w:div w:id="1222520985">
          <w:marLeft w:val="0"/>
          <w:marRight w:val="0"/>
          <w:marTop w:val="0"/>
          <w:marBottom w:val="0"/>
          <w:divBdr>
            <w:top w:val="none" w:sz="0" w:space="0" w:color="auto"/>
            <w:left w:val="none" w:sz="0" w:space="0" w:color="auto"/>
            <w:bottom w:val="none" w:sz="0" w:space="0" w:color="auto"/>
            <w:right w:val="none" w:sz="0" w:space="0" w:color="auto"/>
          </w:divBdr>
        </w:div>
        <w:div w:id="1867862202">
          <w:marLeft w:val="0"/>
          <w:marRight w:val="0"/>
          <w:marTop w:val="0"/>
          <w:marBottom w:val="0"/>
          <w:divBdr>
            <w:top w:val="none" w:sz="0" w:space="0" w:color="auto"/>
            <w:left w:val="none" w:sz="0" w:space="0" w:color="auto"/>
            <w:bottom w:val="none" w:sz="0" w:space="0" w:color="auto"/>
            <w:right w:val="none" w:sz="0" w:space="0" w:color="auto"/>
          </w:divBdr>
        </w:div>
        <w:div w:id="21976450">
          <w:marLeft w:val="0"/>
          <w:marRight w:val="0"/>
          <w:marTop w:val="0"/>
          <w:marBottom w:val="0"/>
          <w:divBdr>
            <w:top w:val="none" w:sz="0" w:space="0" w:color="auto"/>
            <w:left w:val="none" w:sz="0" w:space="0" w:color="auto"/>
            <w:bottom w:val="none" w:sz="0" w:space="0" w:color="auto"/>
            <w:right w:val="none" w:sz="0" w:space="0" w:color="auto"/>
          </w:divBdr>
        </w:div>
        <w:div w:id="2053647870">
          <w:marLeft w:val="0"/>
          <w:marRight w:val="0"/>
          <w:marTop w:val="0"/>
          <w:marBottom w:val="0"/>
          <w:divBdr>
            <w:top w:val="none" w:sz="0" w:space="0" w:color="auto"/>
            <w:left w:val="none" w:sz="0" w:space="0" w:color="auto"/>
            <w:bottom w:val="none" w:sz="0" w:space="0" w:color="auto"/>
            <w:right w:val="none" w:sz="0" w:space="0" w:color="auto"/>
          </w:divBdr>
        </w:div>
        <w:div w:id="3624416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980301787">
          <w:marLeft w:val="0"/>
          <w:marRight w:val="0"/>
          <w:marTop w:val="0"/>
          <w:marBottom w:val="0"/>
          <w:divBdr>
            <w:top w:val="none" w:sz="0" w:space="0" w:color="auto"/>
            <w:left w:val="none" w:sz="0" w:space="0" w:color="auto"/>
            <w:bottom w:val="none" w:sz="0" w:space="0" w:color="auto"/>
            <w:right w:val="none" w:sz="0" w:space="0" w:color="auto"/>
          </w:divBdr>
        </w:div>
        <w:div w:id="880942536">
          <w:marLeft w:val="0"/>
          <w:marRight w:val="0"/>
          <w:marTop w:val="0"/>
          <w:marBottom w:val="0"/>
          <w:divBdr>
            <w:top w:val="none" w:sz="0" w:space="0" w:color="auto"/>
            <w:left w:val="none" w:sz="0" w:space="0" w:color="auto"/>
            <w:bottom w:val="none" w:sz="0" w:space="0" w:color="auto"/>
            <w:right w:val="none" w:sz="0" w:space="0" w:color="auto"/>
          </w:divBdr>
        </w:div>
        <w:div w:id="58329443">
          <w:marLeft w:val="0"/>
          <w:marRight w:val="0"/>
          <w:marTop w:val="0"/>
          <w:marBottom w:val="0"/>
          <w:divBdr>
            <w:top w:val="none" w:sz="0" w:space="0" w:color="auto"/>
            <w:left w:val="none" w:sz="0" w:space="0" w:color="auto"/>
            <w:bottom w:val="none" w:sz="0" w:space="0" w:color="auto"/>
            <w:right w:val="none" w:sz="0" w:space="0" w:color="auto"/>
          </w:divBdr>
        </w:div>
        <w:div w:id="916552319">
          <w:marLeft w:val="0"/>
          <w:marRight w:val="0"/>
          <w:marTop w:val="0"/>
          <w:marBottom w:val="0"/>
          <w:divBdr>
            <w:top w:val="none" w:sz="0" w:space="0" w:color="auto"/>
            <w:left w:val="none" w:sz="0" w:space="0" w:color="auto"/>
            <w:bottom w:val="none" w:sz="0" w:space="0" w:color="auto"/>
            <w:right w:val="none" w:sz="0" w:space="0" w:color="auto"/>
          </w:divBdr>
        </w:div>
        <w:div w:id="316541077">
          <w:marLeft w:val="0"/>
          <w:marRight w:val="0"/>
          <w:marTop w:val="0"/>
          <w:marBottom w:val="0"/>
          <w:divBdr>
            <w:top w:val="none" w:sz="0" w:space="0" w:color="auto"/>
            <w:left w:val="none" w:sz="0" w:space="0" w:color="auto"/>
            <w:bottom w:val="none" w:sz="0" w:space="0" w:color="auto"/>
            <w:right w:val="none" w:sz="0" w:space="0" w:color="auto"/>
          </w:divBdr>
        </w:div>
        <w:div w:id="1131827726">
          <w:marLeft w:val="0"/>
          <w:marRight w:val="0"/>
          <w:marTop w:val="0"/>
          <w:marBottom w:val="0"/>
          <w:divBdr>
            <w:top w:val="none" w:sz="0" w:space="0" w:color="auto"/>
            <w:left w:val="none" w:sz="0" w:space="0" w:color="auto"/>
            <w:bottom w:val="none" w:sz="0" w:space="0" w:color="auto"/>
            <w:right w:val="none" w:sz="0" w:space="0" w:color="auto"/>
          </w:divBdr>
        </w:div>
        <w:div w:id="194931794">
          <w:marLeft w:val="0"/>
          <w:marRight w:val="0"/>
          <w:marTop w:val="0"/>
          <w:marBottom w:val="0"/>
          <w:divBdr>
            <w:top w:val="none" w:sz="0" w:space="0" w:color="auto"/>
            <w:left w:val="none" w:sz="0" w:space="0" w:color="auto"/>
            <w:bottom w:val="none" w:sz="0" w:space="0" w:color="auto"/>
            <w:right w:val="none" w:sz="0" w:space="0" w:color="auto"/>
          </w:divBdr>
        </w:div>
        <w:div w:id="820660954">
          <w:marLeft w:val="0"/>
          <w:marRight w:val="0"/>
          <w:marTop w:val="0"/>
          <w:marBottom w:val="0"/>
          <w:divBdr>
            <w:top w:val="none" w:sz="0" w:space="0" w:color="auto"/>
            <w:left w:val="none" w:sz="0" w:space="0" w:color="auto"/>
            <w:bottom w:val="none" w:sz="0" w:space="0" w:color="auto"/>
            <w:right w:val="none" w:sz="0" w:space="0" w:color="auto"/>
          </w:divBdr>
        </w:div>
        <w:div w:id="457643872">
          <w:marLeft w:val="0"/>
          <w:marRight w:val="0"/>
          <w:marTop w:val="0"/>
          <w:marBottom w:val="0"/>
          <w:divBdr>
            <w:top w:val="none" w:sz="0" w:space="0" w:color="auto"/>
            <w:left w:val="none" w:sz="0" w:space="0" w:color="auto"/>
            <w:bottom w:val="none" w:sz="0" w:space="0" w:color="auto"/>
            <w:right w:val="none" w:sz="0" w:space="0" w:color="auto"/>
          </w:divBdr>
        </w:div>
        <w:div w:id="1404060999">
          <w:marLeft w:val="0"/>
          <w:marRight w:val="0"/>
          <w:marTop w:val="0"/>
          <w:marBottom w:val="0"/>
          <w:divBdr>
            <w:top w:val="none" w:sz="0" w:space="0" w:color="auto"/>
            <w:left w:val="none" w:sz="0" w:space="0" w:color="auto"/>
            <w:bottom w:val="none" w:sz="0" w:space="0" w:color="auto"/>
            <w:right w:val="none" w:sz="0" w:space="0" w:color="auto"/>
          </w:divBdr>
        </w:div>
        <w:div w:id="1152866104">
          <w:marLeft w:val="0"/>
          <w:marRight w:val="0"/>
          <w:marTop w:val="0"/>
          <w:marBottom w:val="0"/>
          <w:divBdr>
            <w:top w:val="none" w:sz="0" w:space="0" w:color="auto"/>
            <w:left w:val="none" w:sz="0" w:space="0" w:color="auto"/>
            <w:bottom w:val="none" w:sz="0" w:space="0" w:color="auto"/>
            <w:right w:val="none" w:sz="0" w:space="0" w:color="auto"/>
          </w:divBdr>
        </w:div>
        <w:div w:id="830753674">
          <w:marLeft w:val="0"/>
          <w:marRight w:val="0"/>
          <w:marTop w:val="0"/>
          <w:marBottom w:val="0"/>
          <w:divBdr>
            <w:top w:val="none" w:sz="0" w:space="0" w:color="auto"/>
            <w:left w:val="none" w:sz="0" w:space="0" w:color="auto"/>
            <w:bottom w:val="none" w:sz="0" w:space="0" w:color="auto"/>
            <w:right w:val="none" w:sz="0" w:space="0" w:color="auto"/>
          </w:divBdr>
        </w:div>
        <w:div w:id="29688283">
          <w:marLeft w:val="0"/>
          <w:marRight w:val="0"/>
          <w:marTop w:val="0"/>
          <w:marBottom w:val="0"/>
          <w:divBdr>
            <w:top w:val="none" w:sz="0" w:space="0" w:color="auto"/>
            <w:left w:val="none" w:sz="0" w:space="0" w:color="auto"/>
            <w:bottom w:val="none" w:sz="0" w:space="0" w:color="auto"/>
            <w:right w:val="none" w:sz="0" w:space="0" w:color="auto"/>
          </w:divBdr>
        </w:div>
        <w:div w:id="1158687068">
          <w:marLeft w:val="0"/>
          <w:marRight w:val="0"/>
          <w:marTop w:val="0"/>
          <w:marBottom w:val="0"/>
          <w:divBdr>
            <w:top w:val="none" w:sz="0" w:space="0" w:color="auto"/>
            <w:left w:val="none" w:sz="0" w:space="0" w:color="auto"/>
            <w:bottom w:val="none" w:sz="0" w:space="0" w:color="auto"/>
            <w:right w:val="none" w:sz="0" w:space="0" w:color="auto"/>
          </w:divBdr>
        </w:div>
        <w:div w:id="1122724058">
          <w:marLeft w:val="0"/>
          <w:marRight w:val="0"/>
          <w:marTop w:val="0"/>
          <w:marBottom w:val="0"/>
          <w:divBdr>
            <w:top w:val="none" w:sz="0" w:space="0" w:color="auto"/>
            <w:left w:val="none" w:sz="0" w:space="0" w:color="auto"/>
            <w:bottom w:val="none" w:sz="0" w:space="0" w:color="auto"/>
            <w:right w:val="none" w:sz="0" w:space="0" w:color="auto"/>
          </w:divBdr>
        </w:div>
        <w:div w:id="434595750">
          <w:marLeft w:val="0"/>
          <w:marRight w:val="0"/>
          <w:marTop w:val="0"/>
          <w:marBottom w:val="0"/>
          <w:divBdr>
            <w:top w:val="none" w:sz="0" w:space="0" w:color="auto"/>
            <w:left w:val="none" w:sz="0" w:space="0" w:color="auto"/>
            <w:bottom w:val="none" w:sz="0" w:space="0" w:color="auto"/>
            <w:right w:val="none" w:sz="0" w:space="0" w:color="auto"/>
          </w:divBdr>
        </w:div>
        <w:div w:id="2095272719">
          <w:marLeft w:val="0"/>
          <w:marRight w:val="0"/>
          <w:marTop w:val="0"/>
          <w:marBottom w:val="0"/>
          <w:divBdr>
            <w:top w:val="none" w:sz="0" w:space="0" w:color="auto"/>
            <w:left w:val="none" w:sz="0" w:space="0" w:color="auto"/>
            <w:bottom w:val="none" w:sz="0" w:space="0" w:color="auto"/>
            <w:right w:val="none" w:sz="0" w:space="0" w:color="auto"/>
          </w:divBdr>
        </w:div>
        <w:div w:id="374500958">
          <w:marLeft w:val="0"/>
          <w:marRight w:val="0"/>
          <w:marTop w:val="0"/>
          <w:marBottom w:val="0"/>
          <w:divBdr>
            <w:top w:val="none" w:sz="0" w:space="0" w:color="auto"/>
            <w:left w:val="none" w:sz="0" w:space="0" w:color="auto"/>
            <w:bottom w:val="none" w:sz="0" w:space="0" w:color="auto"/>
            <w:right w:val="none" w:sz="0" w:space="0" w:color="auto"/>
          </w:divBdr>
        </w:div>
        <w:div w:id="1004626977">
          <w:marLeft w:val="0"/>
          <w:marRight w:val="0"/>
          <w:marTop w:val="0"/>
          <w:marBottom w:val="0"/>
          <w:divBdr>
            <w:top w:val="none" w:sz="0" w:space="0" w:color="auto"/>
            <w:left w:val="none" w:sz="0" w:space="0" w:color="auto"/>
            <w:bottom w:val="none" w:sz="0" w:space="0" w:color="auto"/>
            <w:right w:val="none" w:sz="0" w:space="0" w:color="auto"/>
          </w:divBdr>
        </w:div>
        <w:div w:id="1884780821">
          <w:marLeft w:val="0"/>
          <w:marRight w:val="0"/>
          <w:marTop w:val="0"/>
          <w:marBottom w:val="0"/>
          <w:divBdr>
            <w:top w:val="none" w:sz="0" w:space="0" w:color="auto"/>
            <w:left w:val="none" w:sz="0" w:space="0" w:color="auto"/>
            <w:bottom w:val="none" w:sz="0" w:space="0" w:color="auto"/>
            <w:right w:val="none" w:sz="0" w:space="0" w:color="auto"/>
          </w:divBdr>
        </w:div>
        <w:div w:id="981302086">
          <w:marLeft w:val="0"/>
          <w:marRight w:val="0"/>
          <w:marTop w:val="0"/>
          <w:marBottom w:val="0"/>
          <w:divBdr>
            <w:top w:val="none" w:sz="0" w:space="0" w:color="auto"/>
            <w:left w:val="none" w:sz="0" w:space="0" w:color="auto"/>
            <w:bottom w:val="none" w:sz="0" w:space="0" w:color="auto"/>
            <w:right w:val="none" w:sz="0" w:space="0" w:color="auto"/>
          </w:divBdr>
        </w:div>
        <w:div w:id="1563755762">
          <w:marLeft w:val="0"/>
          <w:marRight w:val="0"/>
          <w:marTop w:val="0"/>
          <w:marBottom w:val="0"/>
          <w:divBdr>
            <w:top w:val="none" w:sz="0" w:space="0" w:color="auto"/>
            <w:left w:val="none" w:sz="0" w:space="0" w:color="auto"/>
            <w:bottom w:val="none" w:sz="0" w:space="0" w:color="auto"/>
            <w:right w:val="none" w:sz="0" w:space="0" w:color="auto"/>
          </w:divBdr>
        </w:div>
        <w:div w:id="818227719">
          <w:marLeft w:val="0"/>
          <w:marRight w:val="0"/>
          <w:marTop w:val="0"/>
          <w:marBottom w:val="0"/>
          <w:divBdr>
            <w:top w:val="none" w:sz="0" w:space="0" w:color="auto"/>
            <w:left w:val="none" w:sz="0" w:space="0" w:color="auto"/>
            <w:bottom w:val="none" w:sz="0" w:space="0" w:color="auto"/>
            <w:right w:val="none" w:sz="0" w:space="0" w:color="auto"/>
          </w:divBdr>
        </w:div>
        <w:div w:id="1905138674">
          <w:marLeft w:val="0"/>
          <w:marRight w:val="0"/>
          <w:marTop w:val="0"/>
          <w:marBottom w:val="0"/>
          <w:divBdr>
            <w:top w:val="none" w:sz="0" w:space="0" w:color="auto"/>
            <w:left w:val="none" w:sz="0" w:space="0" w:color="auto"/>
            <w:bottom w:val="none" w:sz="0" w:space="0" w:color="auto"/>
            <w:right w:val="none" w:sz="0" w:space="0" w:color="auto"/>
          </w:divBdr>
        </w:div>
        <w:div w:id="877931787">
          <w:marLeft w:val="0"/>
          <w:marRight w:val="0"/>
          <w:marTop w:val="0"/>
          <w:marBottom w:val="0"/>
          <w:divBdr>
            <w:top w:val="none" w:sz="0" w:space="0" w:color="auto"/>
            <w:left w:val="none" w:sz="0" w:space="0" w:color="auto"/>
            <w:bottom w:val="none" w:sz="0" w:space="0" w:color="auto"/>
            <w:right w:val="none" w:sz="0" w:space="0" w:color="auto"/>
          </w:divBdr>
        </w:div>
        <w:div w:id="218397346">
          <w:marLeft w:val="0"/>
          <w:marRight w:val="0"/>
          <w:marTop w:val="0"/>
          <w:marBottom w:val="0"/>
          <w:divBdr>
            <w:top w:val="none" w:sz="0" w:space="0" w:color="auto"/>
            <w:left w:val="none" w:sz="0" w:space="0" w:color="auto"/>
            <w:bottom w:val="none" w:sz="0" w:space="0" w:color="auto"/>
            <w:right w:val="none" w:sz="0" w:space="0" w:color="auto"/>
          </w:divBdr>
        </w:div>
        <w:div w:id="1155531546">
          <w:marLeft w:val="0"/>
          <w:marRight w:val="0"/>
          <w:marTop w:val="0"/>
          <w:marBottom w:val="0"/>
          <w:divBdr>
            <w:top w:val="none" w:sz="0" w:space="0" w:color="auto"/>
            <w:left w:val="none" w:sz="0" w:space="0" w:color="auto"/>
            <w:bottom w:val="none" w:sz="0" w:space="0" w:color="auto"/>
            <w:right w:val="none" w:sz="0" w:space="0" w:color="auto"/>
          </w:divBdr>
        </w:div>
        <w:div w:id="299849655">
          <w:marLeft w:val="0"/>
          <w:marRight w:val="0"/>
          <w:marTop w:val="0"/>
          <w:marBottom w:val="0"/>
          <w:divBdr>
            <w:top w:val="none" w:sz="0" w:space="0" w:color="auto"/>
            <w:left w:val="none" w:sz="0" w:space="0" w:color="auto"/>
            <w:bottom w:val="none" w:sz="0" w:space="0" w:color="auto"/>
            <w:right w:val="none" w:sz="0" w:space="0" w:color="auto"/>
          </w:divBdr>
        </w:div>
        <w:div w:id="432671683">
          <w:marLeft w:val="0"/>
          <w:marRight w:val="0"/>
          <w:marTop w:val="0"/>
          <w:marBottom w:val="0"/>
          <w:divBdr>
            <w:top w:val="none" w:sz="0" w:space="0" w:color="auto"/>
            <w:left w:val="none" w:sz="0" w:space="0" w:color="auto"/>
            <w:bottom w:val="none" w:sz="0" w:space="0" w:color="auto"/>
            <w:right w:val="none" w:sz="0" w:space="0" w:color="auto"/>
          </w:divBdr>
        </w:div>
        <w:div w:id="834567050">
          <w:marLeft w:val="0"/>
          <w:marRight w:val="0"/>
          <w:marTop w:val="0"/>
          <w:marBottom w:val="0"/>
          <w:divBdr>
            <w:top w:val="none" w:sz="0" w:space="0" w:color="auto"/>
            <w:left w:val="none" w:sz="0" w:space="0" w:color="auto"/>
            <w:bottom w:val="none" w:sz="0" w:space="0" w:color="auto"/>
            <w:right w:val="none" w:sz="0" w:space="0" w:color="auto"/>
          </w:divBdr>
        </w:div>
        <w:div w:id="331183734">
          <w:marLeft w:val="0"/>
          <w:marRight w:val="0"/>
          <w:marTop w:val="0"/>
          <w:marBottom w:val="0"/>
          <w:divBdr>
            <w:top w:val="none" w:sz="0" w:space="0" w:color="auto"/>
            <w:left w:val="none" w:sz="0" w:space="0" w:color="auto"/>
            <w:bottom w:val="none" w:sz="0" w:space="0" w:color="auto"/>
            <w:right w:val="none" w:sz="0" w:space="0" w:color="auto"/>
          </w:divBdr>
        </w:div>
        <w:div w:id="781530870">
          <w:marLeft w:val="0"/>
          <w:marRight w:val="0"/>
          <w:marTop w:val="0"/>
          <w:marBottom w:val="0"/>
          <w:divBdr>
            <w:top w:val="none" w:sz="0" w:space="0" w:color="auto"/>
            <w:left w:val="none" w:sz="0" w:space="0" w:color="auto"/>
            <w:bottom w:val="none" w:sz="0" w:space="0" w:color="auto"/>
            <w:right w:val="none" w:sz="0" w:space="0" w:color="auto"/>
          </w:divBdr>
        </w:div>
        <w:div w:id="144326016">
          <w:marLeft w:val="0"/>
          <w:marRight w:val="0"/>
          <w:marTop w:val="0"/>
          <w:marBottom w:val="0"/>
          <w:divBdr>
            <w:top w:val="none" w:sz="0" w:space="0" w:color="auto"/>
            <w:left w:val="none" w:sz="0" w:space="0" w:color="auto"/>
            <w:bottom w:val="none" w:sz="0" w:space="0" w:color="auto"/>
            <w:right w:val="none" w:sz="0" w:space="0" w:color="auto"/>
          </w:divBdr>
        </w:div>
        <w:div w:id="1825925167">
          <w:marLeft w:val="0"/>
          <w:marRight w:val="0"/>
          <w:marTop w:val="0"/>
          <w:marBottom w:val="0"/>
          <w:divBdr>
            <w:top w:val="none" w:sz="0" w:space="0" w:color="auto"/>
            <w:left w:val="none" w:sz="0" w:space="0" w:color="auto"/>
            <w:bottom w:val="none" w:sz="0" w:space="0" w:color="auto"/>
            <w:right w:val="none" w:sz="0" w:space="0" w:color="auto"/>
          </w:divBdr>
        </w:div>
        <w:div w:id="116071758">
          <w:marLeft w:val="0"/>
          <w:marRight w:val="0"/>
          <w:marTop w:val="0"/>
          <w:marBottom w:val="0"/>
          <w:divBdr>
            <w:top w:val="none" w:sz="0" w:space="0" w:color="auto"/>
            <w:left w:val="none" w:sz="0" w:space="0" w:color="auto"/>
            <w:bottom w:val="none" w:sz="0" w:space="0" w:color="auto"/>
            <w:right w:val="none" w:sz="0" w:space="0" w:color="auto"/>
          </w:divBdr>
        </w:div>
        <w:div w:id="1365013156">
          <w:marLeft w:val="0"/>
          <w:marRight w:val="0"/>
          <w:marTop w:val="0"/>
          <w:marBottom w:val="0"/>
          <w:divBdr>
            <w:top w:val="none" w:sz="0" w:space="0" w:color="auto"/>
            <w:left w:val="none" w:sz="0" w:space="0" w:color="auto"/>
            <w:bottom w:val="none" w:sz="0" w:space="0" w:color="auto"/>
            <w:right w:val="none" w:sz="0" w:space="0" w:color="auto"/>
          </w:divBdr>
        </w:div>
        <w:div w:id="424115058">
          <w:marLeft w:val="0"/>
          <w:marRight w:val="0"/>
          <w:marTop w:val="0"/>
          <w:marBottom w:val="0"/>
          <w:divBdr>
            <w:top w:val="none" w:sz="0" w:space="0" w:color="auto"/>
            <w:left w:val="none" w:sz="0" w:space="0" w:color="auto"/>
            <w:bottom w:val="none" w:sz="0" w:space="0" w:color="auto"/>
            <w:right w:val="none" w:sz="0" w:space="0" w:color="auto"/>
          </w:divBdr>
        </w:div>
        <w:div w:id="1805078947">
          <w:marLeft w:val="0"/>
          <w:marRight w:val="0"/>
          <w:marTop w:val="0"/>
          <w:marBottom w:val="0"/>
          <w:divBdr>
            <w:top w:val="none" w:sz="0" w:space="0" w:color="auto"/>
            <w:left w:val="none" w:sz="0" w:space="0" w:color="auto"/>
            <w:bottom w:val="none" w:sz="0" w:space="0" w:color="auto"/>
            <w:right w:val="none" w:sz="0" w:space="0" w:color="auto"/>
          </w:divBdr>
        </w:div>
        <w:div w:id="1829666680">
          <w:marLeft w:val="0"/>
          <w:marRight w:val="0"/>
          <w:marTop w:val="0"/>
          <w:marBottom w:val="0"/>
          <w:divBdr>
            <w:top w:val="none" w:sz="0" w:space="0" w:color="auto"/>
            <w:left w:val="none" w:sz="0" w:space="0" w:color="auto"/>
            <w:bottom w:val="none" w:sz="0" w:space="0" w:color="auto"/>
            <w:right w:val="none" w:sz="0" w:space="0" w:color="auto"/>
          </w:divBdr>
        </w:div>
        <w:div w:id="1057514153">
          <w:marLeft w:val="0"/>
          <w:marRight w:val="0"/>
          <w:marTop w:val="0"/>
          <w:marBottom w:val="0"/>
          <w:divBdr>
            <w:top w:val="none" w:sz="0" w:space="0" w:color="auto"/>
            <w:left w:val="none" w:sz="0" w:space="0" w:color="auto"/>
            <w:bottom w:val="none" w:sz="0" w:space="0" w:color="auto"/>
            <w:right w:val="none" w:sz="0" w:space="0" w:color="auto"/>
          </w:divBdr>
        </w:div>
        <w:div w:id="611089556">
          <w:marLeft w:val="0"/>
          <w:marRight w:val="0"/>
          <w:marTop w:val="0"/>
          <w:marBottom w:val="0"/>
          <w:divBdr>
            <w:top w:val="none" w:sz="0" w:space="0" w:color="auto"/>
            <w:left w:val="none" w:sz="0" w:space="0" w:color="auto"/>
            <w:bottom w:val="none" w:sz="0" w:space="0" w:color="auto"/>
            <w:right w:val="none" w:sz="0" w:space="0" w:color="auto"/>
          </w:divBdr>
        </w:div>
        <w:div w:id="1613777292">
          <w:marLeft w:val="0"/>
          <w:marRight w:val="0"/>
          <w:marTop w:val="0"/>
          <w:marBottom w:val="0"/>
          <w:divBdr>
            <w:top w:val="none" w:sz="0" w:space="0" w:color="auto"/>
            <w:left w:val="none" w:sz="0" w:space="0" w:color="auto"/>
            <w:bottom w:val="none" w:sz="0" w:space="0" w:color="auto"/>
            <w:right w:val="none" w:sz="0" w:space="0" w:color="auto"/>
          </w:divBdr>
        </w:div>
        <w:div w:id="649751353">
          <w:marLeft w:val="0"/>
          <w:marRight w:val="0"/>
          <w:marTop w:val="0"/>
          <w:marBottom w:val="0"/>
          <w:divBdr>
            <w:top w:val="none" w:sz="0" w:space="0" w:color="auto"/>
            <w:left w:val="none" w:sz="0" w:space="0" w:color="auto"/>
            <w:bottom w:val="none" w:sz="0" w:space="0" w:color="auto"/>
            <w:right w:val="none" w:sz="0" w:space="0" w:color="auto"/>
          </w:divBdr>
        </w:div>
        <w:div w:id="108940812">
          <w:marLeft w:val="0"/>
          <w:marRight w:val="0"/>
          <w:marTop w:val="0"/>
          <w:marBottom w:val="0"/>
          <w:divBdr>
            <w:top w:val="none" w:sz="0" w:space="0" w:color="auto"/>
            <w:left w:val="none" w:sz="0" w:space="0" w:color="auto"/>
            <w:bottom w:val="none" w:sz="0" w:space="0" w:color="auto"/>
            <w:right w:val="none" w:sz="0" w:space="0" w:color="auto"/>
          </w:divBdr>
        </w:div>
        <w:div w:id="1391421812">
          <w:marLeft w:val="0"/>
          <w:marRight w:val="0"/>
          <w:marTop w:val="0"/>
          <w:marBottom w:val="0"/>
          <w:divBdr>
            <w:top w:val="none" w:sz="0" w:space="0" w:color="auto"/>
            <w:left w:val="none" w:sz="0" w:space="0" w:color="auto"/>
            <w:bottom w:val="none" w:sz="0" w:space="0" w:color="auto"/>
            <w:right w:val="none" w:sz="0" w:space="0" w:color="auto"/>
          </w:divBdr>
        </w:div>
        <w:div w:id="1013190447">
          <w:marLeft w:val="0"/>
          <w:marRight w:val="0"/>
          <w:marTop w:val="0"/>
          <w:marBottom w:val="0"/>
          <w:divBdr>
            <w:top w:val="none" w:sz="0" w:space="0" w:color="auto"/>
            <w:left w:val="none" w:sz="0" w:space="0" w:color="auto"/>
            <w:bottom w:val="none" w:sz="0" w:space="0" w:color="auto"/>
            <w:right w:val="none" w:sz="0" w:space="0" w:color="auto"/>
          </w:divBdr>
        </w:div>
        <w:div w:id="271279235">
          <w:marLeft w:val="0"/>
          <w:marRight w:val="0"/>
          <w:marTop w:val="0"/>
          <w:marBottom w:val="0"/>
          <w:divBdr>
            <w:top w:val="none" w:sz="0" w:space="0" w:color="auto"/>
            <w:left w:val="none" w:sz="0" w:space="0" w:color="auto"/>
            <w:bottom w:val="none" w:sz="0" w:space="0" w:color="auto"/>
            <w:right w:val="none" w:sz="0" w:space="0" w:color="auto"/>
          </w:divBdr>
        </w:div>
        <w:div w:id="338625107">
          <w:marLeft w:val="0"/>
          <w:marRight w:val="0"/>
          <w:marTop w:val="0"/>
          <w:marBottom w:val="0"/>
          <w:divBdr>
            <w:top w:val="none" w:sz="0" w:space="0" w:color="auto"/>
            <w:left w:val="none" w:sz="0" w:space="0" w:color="auto"/>
            <w:bottom w:val="none" w:sz="0" w:space="0" w:color="auto"/>
            <w:right w:val="none" w:sz="0" w:space="0" w:color="auto"/>
          </w:divBdr>
        </w:div>
        <w:div w:id="1110396531">
          <w:marLeft w:val="0"/>
          <w:marRight w:val="0"/>
          <w:marTop w:val="0"/>
          <w:marBottom w:val="0"/>
          <w:divBdr>
            <w:top w:val="none" w:sz="0" w:space="0" w:color="auto"/>
            <w:left w:val="none" w:sz="0" w:space="0" w:color="auto"/>
            <w:bottom w:val="none" w:sz="0" w:space="0" w:color="auto"/>
            <w:right w:val="none" w:sz="0" w:space="0" w:color="auto"/>
          </w:divBdr>
        </w:div>
        <w:div w:id="976034882">
          <w:marLeft w:val="0"/>
          <w:marRight w:val="0"/>
          <w:marTop w:val="0"/>
          <w:marBottom w:val="0"/>
          <w:divBdr>
            <w:top w:val="none" w:sz="0" w:space="0" w:color="auto"/>
            <w:left w:val="none" w:sz="0" w:space="0" w:color="auto"/>
            <w:bottom w:val="none" w:sz="0" w:space="0" w:color="auto"/>
            <w:right w:val="none" w:sz="0" w:space="0" w:color="auto"/>
          </w:divBdr>
        </w:div>
        <w:div w:id="521480968">
          <w:marLeft w:val="0"/>
          <w:marRight w:val="0"/>
          <w:marTop w:val="0"/>
          <w:marBottom w:val="0"/>
          <w:divBdr>
            <w:top w:val="none" w:sz="0" w:space="0" w:color="auto"/>
            <w:left w:val="none" w:sz="0" w:space="0" w:color="auto"/>
            <w:bottom w:val="none" w:sz="0" w:space="0" w:color="auto"/>
            <w:right w:val="none" w:sz="0" w:space="0" w:color="auto"/>
          </w:divBdr>
        </w:div>
        <w:div w:id="1625959622">
          <w:marLeft w:val="0"/>
          <w:marRight w:val="0"/>
          <w:marTop w:val="0"/>
          <w:marBottom w:val="0"/>
          <w:divBdr>
            <w:top w:val="none" w:sz="0" w:space="0" w:color="auto"/>
            <w:left w:val="none" w:sz="0" w:space="0" w:color="auto"/>
            <w:bottom w:val="none" w:sz="0" w:space="0" w:color="auto"/>
            <w:right w:val="none" w:sz="0" w:space="0" w:color="auto"/>
          </w:divBdr>
        </w:div>
        <w:div w:id="1049452067">
          <w:marLeft w:val="0"/>
          <w:marRight w:val="0"/>
          <w:marTop w:val="0"/>
          <w:marBottom w:val="0"/>
          <w:divBdr>
            <w:top w:val="none" w:sz="0" w:space="0" w:color="auto"/>
            <w:left w:val="none" w:sz="0" w:space="0" w:color="auto"/>
            <w:bottom w:val="none" w:sz="0" w:space="0" w:color="auto"/>
            <w:right w:val="none" w:sz="0" w:space="0" w:color="auto"/>
          </w:divBdr>
        </w:div>
        <w:div w:id="2071415719">
          <w:marLeft w:val="0"/>
          <w:marRight w:val="0"/>
          <w:marTop w:val="0"/>
          <w:marBottom w:val="0"/>
          <w:divBdr>
            <w:top w:val="none" w:sz="0" w:space="0" w:color="auto"/>
            <w:left w:val="none" w:sz="0" w:space="0" w:color="auto"/>
            <w:bottom w:val="none" w:sz="0" w:space="0" w:color="auto"/>
            <w:right w:val="none" w:sz="0" w:space="0" w:color="auto"/>
          </w:divBdr>
        </w:div>
        <w:div w:id="1582367188">
          <w:marLeft w:val="0"/>
          <w:marRight w:val="0"/>
          <w:marTop w:val="0"/>
          <w:marBottom w:val="0"/>
          <w:divBdr>
            <w:top w:val="none" w:sz="0" w:space="0" w:color="auto"/>
            <w:left w:val="none" w:sz="0" w:space="0" w:color="auto"/>
            <w:bottom w:val="none" w:sz="0" w:space="0" w:color="auto"/>
            <w:right w:val="none" w:sz="0" w:space="0" w:color="auto"/>
          </w:divBdr>
        </w:div>
        <w:div w:id="721710399">
          <w:marLeft w:val="0"/>
          <w:marRight w:val="0"/>
          <w:marTop w:val="0"/>
          <w:marBottom w:val="0"/>
          <w:divBdr>
            <w:top w:val="none" w:sz="0" w:space="0" w:color="auto"/>
            <w:left w:val="none" w:sz="0" w:space="0" w:color="auto"/>
            <w:bottom w:val="none" w:sz="0" w:space="0" w:color="auto"/>
            <w:right w:val="none" w:sz="0" w:space="0" w:color="auto"/>
          </w:divBdr>
        </w:div>
        <w:div w:id="1120998406">
          <w:marLeft w:val="0"/>
          <w:marRight w:val="0"/>
          <w:marTop w:val="0"/>
          <w:marBottom w:val="0"/>
          <w:divBdr>
            <w:top w:val="none" w:sz="0" w:space="0" w:color="auto"/>
            <w:left w:val="none" w:sz="0" w:space="0" w:color="auto"/>
            <w:bottom w:val="none" w:sz="0" w:space="0" w:color="auto"/>
            <w:right w:val="none" w:sz="0" w:space="0" w:color="auto"/>
          </w:divBdr>
        </w:div>
        <w:div w:id="725834631">
          <w:marLeft w:val="0"/>
          <w:marRight w:val="0"/>
          <w:marTop w:val="0"/>
          <w:marBottom w:val="0"/>
          <w:divBdr>
            <w:top w:val="none" w:sz="0" w:space="0" w:color="auto"/>
            <w:left w:val="none" w:sz="0" w:space="0" w:color="auto"/>
            <w:bottom w:val="none" w:sz="0" w:space="0" w:color="auto"/>
            <w:right w:val="none" w:sz="0" w:space="0" w:color="auto"/>
          </w:divBdr>
        </w:div>
        <w:div w:id="2090999096">
          <w:marLeft w:val="0"/>
          <w:marRight w:val="0"/>
          <w:marTop w:val="0"/>
          <w:marBottom w:val="0"/>
          <w:divBdr>
            <w:top w:val="none" w:sz="0" w:space="0" w:color="auto"/>
            <w:left w:val="none" w:sz="0" w:space="0" w:color="auto"/>
            <w:bottom w:val="none" w:sz="0" w:space="0" w:color="auto"/>
            <w:right w:val="none" w:sz="0" w:space="0" w:color="auto"/>
          </w:divBdr>
        </w:div>
        <w:div w:id="148130913">
          <w:marLeft w:val="0"/>
          <w:marRight w:val="0"/>
          <w:marTop w:val="0"/>
          <w:marBottom w:val="0"/>
          <w:divBdr>
            <w:top w:val="none" w:sz="0" w:space="0" w:color="auto"/>
            <w:left w:val="none" w:sz="0" w:space="0" w:color="auto"/>
            <w:bottom w:val="none" w:sz="0" w:space="0" w:color="auto"/>
            <w:right w:val="none" w:sz="0" w:space="0" w:color="auto"/>
          </w:divBdr>
        </w:div>
        <w:div w:id="971327648">
          <w:marLeft w:val="0"/>
          <w:marRight w:val="0"/>
          <w:marTop w:val="0"/>
          <w:marBottom w:val="0"/>
          <w:divBdr>
            <w:top w:val="none" w:sz="0" w:space="0" w:color="auto"/>
            <w:left w:val="none" w:sz="0" w:space="0" w:color="auto"/>
            <w:bottom w:val="none" w:sz="0" w:space="0" w:color="auto"/>
            <w:right w:val="none" w:sz="0" w:space="0" w:color="auto"/>
          </w:divBdr>
        </w:div>
        <w:div w:id="1055474267">
          <w:marLeft w:val="0"/>
          <w:marRight w:val="0"/>
          <w:marTop w:val="0"/>
          <w:marBottom w:val="0"/>
          <w:divBdr>
            <w:top w:val="none" w:sz="0" w:space="0" w:color="auto"/>
            <w:left w:val="none" w:sz="0" w:space="0" w:color="auto"/>
            <w:bottom w:val="none" w:sz="0" w:space="0" w:color="auto"/>
            <w:right w:val="none" w:sz="0" w:space="0" w:color="auto"/>
          </w:divBdr>
        </w:div>
        <w:div w:id="1141926030">
          <w:marLeft w:val="0"/>
          <w:marRight w:val="0"/>
          <w:marTop w:val="0"/>
          <w:marBottom w:val="0"/>
          <w:divBdr>
            <w:top w:val="none" w:sz="0" w:space="0" w:color="auto"/>
            <w:left w:val="none" w:sz="0" w:space="0" w:color="auto"/>
            <w:bottom w:val="none" w:sz="0" w:space="0" w:color="auto"/>
            <w:right w:val="none" w:sz="0" w:space="0" w:color="auto"/>
          </w:divBdr>
        </w:div>
        <w:div w:id="709913012">
          <w:marLeft w:val="0"/>
          <w:marRight w:val="0"/>
          <w:marTop w:val="0"/>
          <w:marBottom w:val="0"/>
          <w:divBdr>
            <w:top w:val="none" w:sz="0" w:space="0" w:color="auto"/>
            <w:left w:val="none" w:sz="0" w:space="0" w:color="auto"/>
            <w:bottom w:val="none" w:sz="0" w:space="0" w:color="auto"/>
            <w:right w:val="none" w:sz="0" w:space="0" w:color="auto"/>
          </w:divBdr>
        </w:div>
        <w:div w:id="1072436553">
          <w:marLeft w:val="0"/>
          <w:marRight w:val="0"/>
          <w:marTop w:val="0"/>
          <w:marBottom w:val="0"/>
          <w:divBdr>
            <w:top w:val="none" w:sz="0" w:space="0" w:color="auto"/>
            <w:left w:val="none" w:sz="0" w:space="0" w:color="auto"/>
            <w:bottom w:val="none" w:sz="0" w:space="0" w:color="auto"/>
            <w:right w:val="none" w:sz="0" w:space="0" w:color="auto"/>
          </w:divBdr>
        </w:div>
        <w:div w:id="329256394">
          <w:marLeft w:val="0"/>
          <w:marRight w:val="0"/>
          <w:marTop w:val="0"/>
          <w:marBottom w:val="0"/>
          <w:divBdr>
            <w:top w:val="none" w:sz="0" w:space="0" w:color="auto"/>
            <w:left w:val="none" w:sz="0" w:space="0" w:color="auto"/>
            <w:bottom w:val="none" w:sz="0" w:space="0" w:color="auto"/>
            <w:right w:val="none" w:sz="0" w:space="0" w:color="auto"/>
          </w:divBdr>
        </w:div>
        <w:div w:id="121971992">
          <w:marLeft w:val="0"/>
          <w:marRight w:val="0"/>
          <w:marTop w:val="0"/>
          <w:marBottom w:val="0"/>
          <w:divBdr>
            <w:top w:val="none" w:sz="0" w:space="0" w:color="auto"/>
            <w:left w:val="none" w:sz="0" w:space="0" w:color="auto"/>
            <w:bottom w:val="none" w:sz="0" w:space="0" w:color="auto"/>
            <w:right w:val="none" w:sz="0" w:space="0" w:color="auto"/>
          </w:divBdr>
        </w:div>
        <w:div w:id="579872301">
          <w:marLeft w:val="0"/>
          <w:marRight w:val="0"/>
          <w:marTop w:val="0"/>
          <w:marBottom w:val="0"/>
          <w:divBdr>
            <w:top w:val="none" w:sz="0" w:space="0" w:color="auto"/>
            <w:left w:val="none" w:sz="0" w:space="0" w:color="auto"/>
            <w:bottom w:val="none" w:sz="0" w:space="0" w:color="auto"/>
            <w:right w:val="none" w:sz="0" w:space="0" w:color="auto"/>
          </w:divBdr>
        </w:div>
        <w:div w:id="341713258">
          <w:marLeft w:val="0"/>
          <w:marRight w:val="0"/>
          <w:marTop w:val="0"/>
          <w:marBottom w:val="0"/>
          <w:divBdr>
            <w:top w:val="none" w:sz="0" w:space="0" w:color="auto"/>
            <w:left w:val="none" w:sz="0" w:space="0" w:color="auto"/>
            <w:bottom w:val="none" w:sz="0" w:space="0" w:color="auto"/>
            <w:right w:val="none" w:sz="0" w:space="0" w:color="auto"/>
          </w:divBdr>
        </w:div>
        <w:div w:id="1684670699">
          <w:marLeft w:val="0"/>
          <w:marRight w:val="0"/>
          <w:marTop w:val="0"/>
          <w:marBottom w:val="0"/>
          <w:divBdr>
            <w:top w:val="none" w:sz="0" w:space="0" w:color="auto"/>
            <w:left w:val="none" w:sz="0" w:space="0" w:color="auto"/>
            <w:bottom w:val="none" w:sz="0" w:space="0" w:color="auto"/>
            <w:right w:val="none" w:sz="0" w:space="0" w:color="auto"/>
          </w:divBdr>
        </w:div>
        <w:div w:id="522986103">
          <w:marLeft w:val="0"/>
          <w:marRight w:val="0"/>
          <w:marTop w:val="0"/>
          <w:marBottom w:val="0"/>
          <w:divBdr>
            <w:top w:val="none" w:sz="0" w:space="0" w:color="auto"/>
            <w:left w:val="none" w:sz="0" w:space="0" w:color="auto"/>
            <w:bottom w:val="none" w:sz="0" w:space="0" w:color="auto"/>
            <w:right w:val="none" w:sz="0" w:space="0" w:color="auto"/>
          </w:divBdr>
        </w:div>
        <w:div w:id="864755314">
          <w:marLeft w:val="0"/>
          <w:marRight w:val="0"/>
          <w:marTop w:val="0"/>
          <w:marBottom w:val="0"/>
          <w:divBdr>
            <w:top w:val="none" w:sz="0" w:space="0" w:color="auto"/>
            <w:left w:val="none" w:sz="0" w:space="0" w:color="auto"/>
            <w:bottom w:val="none" w:sz="0" w:space="0" w:color="auto"/>
            <w:right w:val="none" w:sz="0" w:space="0" w:color="auto"/>
          </w:divBdr>
        </w:div>
        <w:div w:id="271741192">
          <w:marLeft w:val="0"/>
          <w:marRight w:val="0"/>
          <w:marTop w:val="0"/>
          <w:marBottom w:val="0"/>
          <w:divBdr>
            <w:top w:val="none" w:sz="0" w:space="0" w:color="auto"/>
            <w:left w:val="none" w:sz="0" w:space="0" w:color="auto"/>
            <w:bottom w:val="none" w:sz="0" w:space="0" w:color="auto"/>
            <w:right w:val="none" w:sz="0" w:space="0" w:color="auto"/>
          </w:divBdr>
        </w:div>
        <w:div w:id="1676372664">
          <w:marLeft w:val="0"/>
          <w:marRight w:val="0"/>
          <w:marTop w:val="0"/>
          <w:marBottom w:val="0"/>
          <w:divBdr>
            <w:top w:val="none" w:sz="0" w:space="0" w:color="auto"/>
            <w:left w:val="none" w:sz="0" w:space="0" w:color="auto"/>
            <w:bottom w:val="none" w:sz="0" w:space="0" w:color="auto"/>
            <w:right w:val="none" w:sz="0" w:space="0" w:color="auto"/>
          </w:divBdr>
        </w:div>
        <w:div w:id="920527053">
          <w:marLeft w:val="0"/>
          <w:marRight w:val="0"/>
          <w:marTop w:val="0"/>
          <w:marBottom w:val="0"/>
          <w:divBdr>
            <w:top w:val="none" w:sz="0" w:space="0" w:color="auto"/>
            <w:left w:val="none" w:sz="0" w:space="0" w:color="auto"/>
            <w:bottom w:val="none" w:sz="0" w:space="0" w:color="auto"/>
            <w:right w:val="none" w:sz="0" w:space="0" w:color="auto"/>
          </w:divBdr>
        </w:div>
        <w:div w:id="1781753726">
          <w:marLeft w:val="0"/>
          <w:marRight w:val="0"/>
          <w:marTop w:val="0"/>
          <w:marBottom w:val="0"/>
          <w:divBdr>
            <w:top w:val="none" w:sz="0" w:space="0" w:color="auto"/>
            <w:left w:val="none" w:sz="0" w:space="0" w:color="auto"/>
            <w:bottom w:val="none" w:sz="0" w:space="0" w:color="auto"/>
            <w:right w:val="none" w:sz="0" w:space="0" w:color="auto"/>
          </w:divBdr>
        </w:div>
        <w:div w:id="1891722551">
          <w:marLeft w:val="0"/>
          <w:marRight w:val="0"/>
          <w:marTop w:val="0"/>
          <w:marBottom w:val="0"/>
          <w:divBdr>
            <w:top w:val="none" w:sz="0" w:space="0" w:color="auto"/>
            <w:left w:val="none" w:sz="0" w:space="0" w:color="auto"/>
            <w:bottom w:val="none" w:sz="0" w:space="0" w:color="auto"/>
            <w:right w:val="none" w:sz="0" w:space="0" w:color="auto"/>
          </w:divBdr>
        </w:div>
        <w:div w:id="194470548">
          <w:marLeft w:val="0"/>
          <w:marRight w:val="0"/>
          <w:marTop w:val="0"/>
          <w:marBottom w:val="0"/>
          <w:divBdr>
            <w:top w:val="none" w:sz="0" w:space="0" w:color="auto"/>
            <w:left w:val="none" w:sz="0" w:space="0" w:color="auto"/>
            <w:bottom w:val="none" w:sz="0" w:space="0" w:color="auto"/>
            <w:right w:val="none" w:sz="0" w:space="0" w:color="auto"/>
          </w:divBdr>
        </w:div>
        <w:div w:id="1597246739">
          <w:marLeft w:val="0"/>
          <w:marRight w:val="0"/>
          <w:marTop w:val="0"/>
          <w:marBottom w:val="0"/>
          <w:divBdr>
            <w:top w:val="none" w:sz="0" w:space="0" w:color="auto"/>
            <w:left w:val="none" w:sz="0" w:space="0" w:color="auto"/>
            <w:bottom w:val="none" w:sz="0" w:space="0" w:color="auto"/>
            <w:right w:val="none" w:sz="0" w:space="0" w:color="auto"/>
          </w:divBdr>
        </w:div>
        <w:div w:id="775296932">
          <w:marLeft w:val="0"/>
          <w:marRight w:val="0"/>
          <w:marTop w:val="0"/>
          <w:marBottom w:val="0"/>
          <w:divBdr>
            <w:top w:val="none" w:sz="0" w:space="0" w:color="auto"/>
            <w:left w:val="none" w:sz="0" w:space="0" w:color="auto"/>
            <w:bottom w:val="none" w:sz="0" w:space="0" w:color="auto"/>
            <w:right w:val="none" w:sz="0" w:space="0" w:color="auto"/>
          </w:divBdr>
        </w:div>
        <w:div w:id="148058679">
          <w:marLeft w:val="0"/>
          <w:marRight w:val="0"/>
          <w:marTop w:val="0"/>
          <w:marBottom w:val="0"/>
          <w:divBdr>
            <w:top w:val="none" w:sz="0" w:space="0" w:color="auto"/>
            <w:left w:val="none" w:sz="0" w:space="0" w:color="auto"/>
            <w:bottom w:val="none" w:sz="0" w:space="0" w:color="auto"/>
            <w:right w:val="none" w:sz="0" w:space="0" w:color="auto"/>
          </w:divBdr>
        </w:div>
        <w:div w:id="1828282125">
          <w:marLeft w:val="0"/>
          <w:marRight w:val="0"/>
          <w:marTop w:val="0"/>
          <w:marBottom w:val="0"/>
          <w:divBdr>
            <w:top w:val="none" w:sz="0" w:space="0" w:color="auto"/>
            <w:left w:val="none" w:sz="0" w:space="0" w:color="auto"/>
            <w:bottom w:val="none" w:sz="0" w:space="0" w:color="auto"/>
            <w:right w:val="none" w:sz="0" w:space="0" w:color="auto"/>
          </w:divBdr>
        </w:div>
        <w:div w:id="641428093">
          <w:marLeft w:val="0"/>
          <w:marRight w:val="0"/>
          <w:marTop w:val="0"/>
          <w:marBottom w:val="0"/>
          <w:divBdr>
            <w:top w:val="none" w:sz="0" w:space="0" w:color="auto"/>
            <w:left w:val="none" w:sz="0" w:space="0" w:color="auto"/>
            <w:bottom w:val="none" w:sz="0" w:space="0" w:color="auto"/>
            <w:right w:val="none" w:sz="0" w:space="0" w:color="auto"/>
          </w:divBdr>
        </w:div>
        <w:div w:id="1696928396">
          <w:marLeft w:val="0"/>
          <w:marRight w:val="0"/>
          <w:marTop w:val="0"/>
          <w:marBottom w:val="0"/>
          <w:divBdr>
            <w:top w:val="none" w:sz="0" w:space="0" w:color="auto"/>
            <w:left w:val="none" w:sz="0" w:space="0" w:color="auto"/>
            <w:bottom w:val="none" w:sz="0" w:space="0" w:color="auto"/>
            <w:right w:val="none" w:sz="0" w:space="0" w:color="auto"/>
          </w:divBdr>
        </w:div>
        <w:div w:id="470445959">
          <w:marLeft w:val="0"/>
          <w:marRight w:val="0"/>
          <w:marTop w:val="0"/>
          <w:marBottom w:val="0"/>
          <w:divBdr>
            <w:top w:val="none" w:sz="0" w:space="0" w:color="auto"/>
            <w:left w:val="none" w:sz="0" w:space="0" w:color="auto"/>
            <w:bottom w:val="none" w:sz="0" w:space="0" w:color="auto"/>
            <w:right w:val="none" w:sz="0" w:space="0" w:color="auto"/>
          </w:divBdr>
        </w:div>
        <w:div w:id="841700921">
          <w:marLeft w:val="0"/>
          <w:marRight w:val="0"/>
          <w:marTop w:val="0"/>
          <w:marBottom w:val="0"/>
          <w:divBdr>
            <w:top w:val="none" w:sz="0" w:space="0" w:color="auto"/>
            <w:left w:val="none" w:sz="0" w:space="0" w:color="auto"/>
            <w:bottom w:val="none" w:sz="0" w:space="0" w:color="auto"/>
            <w:right w:val="none" w:sz="0" w:space="0" w:color="auto"/>
          </w:divBdr>
        </w:div>
        <w:div w:id="1967422260">
          <w:marLeft w:val="0"/>
          <w:marRight w:val="0"/>
          <w:marTop w:val="0"/>
          <w:marBottom w:val="0"/>
          <w:divBdr>
            <w:top w:val="none" w:sz="0" w:space="0" w:color="auto"/>
            <w:left w:val="none" w:sz="0" w:space="0" w:color="auto"/>
            <w:bottom w:val="none" w:sz="0" w:space="0" w:color="auto"/>
            <w:right w:val="none" w:sz="0" w:space="0" w:color="auto"/>
          </w:divBdr>
        </w:div>
        <w:div w:id="664747707">
          <w:marLeft w:val="0"/>
          <w:marRight w:val="0"/>
          <w:marTop w:val="0"/>
          <w:marBottom w:val="0"/>
          <w:divBdr>
            <w:top w:val="none" w:sz="0" w:space="0" w:color="auto"/>
            <w:left w:val="none" w:sz="0" w:space="0" w:color="auto"/>
            <w:bottom w:val="none" w:sz="0" w:space="0" w:color="auto"/>
            <w:right w:val="none" w:sz="0" w:space="0" w:color="auto"/>
          </w:divBdr>
        </w:div>
        <w:div w:id="488402977">
          <w:marLeft w:val="0"/>
          <w:marRight w:val="0"/>
          <w:marTop w:val="0"/>
          <w:marBottom w:val="0"/>
          <w:divBdr>
            <w:top w:val="none" w:sz="0" w:space="0" w:color="auto"/>
            <w:left w:val="none" w:sz="0" w:space="0" w:color="auto"/>
            <w:bottom w:val="none" w:sz="0" w:space="0" w:color="auto"/>
            <w:right w:val="none" w:sz="0" w:space="0" w:color="auto"/>
          </w:divBdr>
        </w:div>
        <w:div w:id="1274049392">
          <w:marLeft w:val="0"/>
          <w:marRight w:val="0"/>
          <w:marTop w:val="0"/>
          <w:marBottom w:val="0"/>
          <w:divBdr>
            <w:top w:val="none" w:sz="0" w:space="0" w:color="auto"/>
            <w:left w:val="none" w:sz="0" w:space="0" w:color="auto"/>
            <w:bottom w:val="none" w:sz="0" w:space="0" w:color="auto"/>
            <w:right w:val="none" w:sz="0" w:space="0" w:color="auto"/>
          </w:divBdr>
        </w:div>
        <w:div w:id="1040711756">
          <w:marLeft w:val="0"/>
          <w:marRight w:val="0"/>
          <w:marTop w:val="0"/>
          <w:marBottom w:val="0"/>
          <w:divBdr>
            <w:top w:val="none" w:sz="0" w:space="0" w:color="auto"/>
            <w:left w:val="none" w:sz="0" w:space="0" w:color="auto"/>
            <w:bottom w:val="none" w:sz="0" w:space="0" w:color="auto"/>
            <w:right w:val="none" w:sz="0" w:space="0" w:color="auto"/>
          </w:divBdr>
        </w:div>
        <w:div w:id="1515025117">
          <w:marLeft w:val="0"/>
          <w:marRight w:val="0"/>
          <w:marTop w:val="0"/>
          <w:marBottom w:val="0"/>
          <w:divBdr>
            <w:top w:val="none" w:sz="0" w:space="0" w:color="auto"/>
            <w:left w:val="none" w:sz="0" w:space="0" w:color="auto"/>
            <w:bottom w:val="none" w:sz="0" w:space="0" w:color="auto"/>
            <w:right w:val="none" w:sz="0" w:space="0" w:color="auto"/>
          </w:divBdr>
        </w:div>
        <w:div w:id="1107430594">
          <w:marLeft w:val="0"/>
          <w:marRight w:val="0"/>
          <w:marTop w:val="0"/>
          <w:marBottom w:val="0"/>
          <w:divBdr>
            <w:top w:val="none" w:sz="0" w:space="0" w:color="auto"/>
            <w:left w:val="none" w:sz="0" w:space="0" w:color="auto"/>
            <w:bottom w:val="none" w:sz="0" w:space="0" w:color="auto"/>
            <w:right w:val="none" w:sz="0" w:space="0" w:color="auto"/>
          </w:divBdr>
        </w:div>
        <w:div w:id="23989006">
          <w:marLeft w:val="0"/>
          <w:marRight w:val="0"/>
          <w:marTop w:val="0"/>
          <w:marBottom w:val="0"/>
          <w:divBdr>
            <w:top w:val="none" w:sz="0" w:space="0" w:color="auto"/>
            <w:left w:val="none" w:sz="0" w:space="0" w:color="auto"/>
            <w:bottom w:val="none" w:sz="0" w:space="0" w:color="auto"/>
            <w:right w:val="none" w:sz="0" w:space="0" w:color="auto"/>
          </w:divBdr>
        </w:div>
        <w:div w:id="818957445">
          <w:marLeft w:val="0"/>
          <w:marRight w:val="0"/>
          <w:marTop w:val="0"/>
          <w:marBottom w:val="0"/>
          <w:divBdr>
            <w:top w:val="none" w:sz="0" w:space="0" w:color="auto"/>
            <w:left w:val="none" w:sz="0" w:space="0" w:color="auto"/>
            <w:bottom w:val="none" w:sz="0" w:space="0" w:color="auto"/>
            <w:right w:val="none" w:sz="0" w:space="0" w:color="auto"/>
          </w:divBdr>
        </w:div>
        <w:div w:id="475270044">
          <w:marLeft w:val="0"/>
          <w:marRight w:val="0"/>
          <w:marTop w:val="0"/>
          <w:marBottom w:val="0"/>
          <w:divBdr>
            <w:top w:val="none" w:sz="0" w:space="0" w:color="auto"/>
            <w:left w:val="none" w:sz="0" w:space="0" w:color="auto"/>
            <w:bottom w:val="none" w:sz="0" w:space="0" w:color="auto"/>
            <w:right w:val="none" w:sz="0" w:space="0" w:color="auto"/>
          </w:divBdr>
        </w:div>
        <w:div w:id="1693458730">
          <w:marLeft w:val="0"/>
          <w:marRight w:val="0"/>
          <w:marTop w:val="0"/>
          <w:marBottom w:val="0"/>
          <w:divBdr>
            <w:top w:val="none" w:sz="0" w:space="0" w:color="auto"/>
            <w:left w:val="none" w:sz="0" w:space="0" w:color="auto"/>
            <w:bottom w:val="none" w:sz="0" w:space="0" w:color="auto"/>
            <w:right w:val="none" w:sz="0" w:space="0" w:color="auto"/>
          </w:divBdr>
        </w:div>
        <w:div w:id="1481119125">
          <w:marLeft w:val="0"/>
          <w:marRight w:val="0"/>
          <w:marTop w:val="0"/>
          <w:marBottom w:val="0"/>
          <w:divBdr>
            <w:top w:val="none" w:sz="0" w:space="0" w:color="auto"/>
            <w:left w:val="none" w:sz="0" w:space="0" w:color="auto"/>
            <w:bottom w:val="none" w:sz="0" w:space="0" w:color="auto"/>
            <w:right w:val="none" w:sz="0" w:space="0" w:color="auto"/>
          </w:divBdr>
        </w:div>
        <w:div w:id="1895267563">
          <w:marLeft w:val="0"/>
          <w:marRight w:val="0"/>
          <w:marTop w:val="0"/>
          <w:marBottom w:val="0"/>
          <w:divBdr>
            <w:top w:val="none" w:sz="0" w:space="0" w:color="auto"/>
            <w:left w:val="none" w:sz="0" w:space="0" w:color="auto"/>
            <w:bottom w:val="none" w:sz="0" w:space="0" w:color="auto"/>
            <w:right w:val="none" w:sz="0" w:space="0" w:color="auto"/>
          </w:divBdr>
        </w:div>
      </w:divsChild>
    </w:div>
    <w:div w:id="19517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2015-12-09T08:18:00Z</dcterms:created>
  <dcterms:modified xsi:type="dcterms:W3CDTF">2015-12-09T08:22:00Z</dcterms:modified>
</cp:coreProperties>
</file>